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574" w:rsidRPr="004C7DD3" w:rsidRDefault="00F703D9" w:rsidP="005D5574">
      <w:pPr>
        <w:rPr>
          <w:b/>
          <w:color w:val="4972F9"/>
          <w:sz w:val="32"/>
          <w:szCs w:val="32"/>
        </w:rPr>
      </w:pPr>
      <w:r w:rsidRPr="004C7DD3">
        <w:rPr>
          <w:b/>
          <w:color w:val="4972F9"/>
          <w:sz w:val="32"/>
          <w:szCs w:val="32"/>
        </w:rPr>
        <w:t xml:space="preserve">Activité 4 : </w:t>
      </w:r>
      <w:r w:rsidR="005D5574" w:rsidRPr="004C7DD3">
        <w:rPr>
          <w:b/>
          <w:color w:val="4972F9"/>
          <w:sz w:val="32"/>
          <w:szCs w:val="32"/>
        </w:rPr>
        <w:t>Comment lutter contre le</w:t>
      </w:r>
      <w:r w:rsidRPr="004C7DD3">
        <w:rPr>
          <w:b/>
          <w:color w:val="4972F9"/>
          <w:sz w:val="32"/>
          <w:szCs w:val="32"/>
        </w:rPr>
        <w:t xml:space="preserve"> paludisme</w:t>
      </w:r>
      <w:r w:rsidR="004C7DD3">
        <w:rPr>
          <w:b/>
          <w:color w:val="4972F9"/>
          <w:sz w:val="32"/>
          <w:szCs w:val="32"/>
        </w:rPr>
        <w:t xml:space="preserve"> </w:t>
      </w:r>
      <w:r w:rsidRPr="004C7DD3">
        <w:rPr>
          <w:b/>
          <w:color w:val="4972F9"/>
          <w:sz w:val="32"/>
          <w:szCs w:val="32"/>
        </w:rPr>
        <w:t>?</w:t>
      </w:r>
    </w:p>
    <w:p w:rsidR="005D5574" w:rsidRPr="00F703D9" w:rsidRDefault="005D5574" w:rsidP="005D5574">
      <w:r w:rsidRPr="00F703D9">
        <w:t xml:space="preserve">Le document suivant présente plusieurs méthodes complémentaires de lutte contre la transmission du paludisme. </w:t>
      </w:r>
    </w:p>
    <w:p w:rsidR="005D5574" w:rsidRPr="00F703D9" w:rsidRDefault="004C7DD3" w:rsidP="005D5574">
      <w:r>
        <w:rPr>
          <w:noProof/>
          <w:u w:val="single"/>
          <w:lang w:eastAsia="fr-FR"/>
        </w:rPr>
        <w:drawing>
          <wp:anchor distT="0" distB="0" distL="114300" distR="114300" simplePos="0" relativeHeight="251658240" behindDoc="0" locked="0" layoutInCell="1" allowOverlap="1" wp14:anchorId="3424B92C" wp14:editId="7FE09AE8">
            <wp:simplePos x="0" y="0"/>
            <wp:positionH relativeFrom="column">
              <wp:posOffset>-482600</wp:posOffset>
            </wp:positionH>
            <wp:positionV relativeFrom="paragraph">
              <wp:posOffset>378037</wp:posOffset>
            </wp:positionV>
            <wp:extent cx="6757213" cy="5291667"/>
            <wp:effectExtent l="0" t="0" r="5715"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7213" cy="5291667"/>
                    </a:xfrm>
                    <a:prstGeom prst="rect">
                      <a:avLst/>
                    </a:prstGeom>
                    <a:noFill/>
                  </pic:spPr>
                </pic:pic>
              </a:graphicData>
            </a:graphic>
            <wp14:sizeRelH relativeFrom="page">
              <wp14:pctWidth>0</wp14:pctWidth>
            </wp14:sizeRelH>
            <wp14:sizeRelV relativeFrom="page">
              <wp14:pctHeight>0</wp14:pctHeight>
            </wp14:sizeRelV>
          </wp:anchor>
        </w:drawing>
      </w:r>
      <w:r w:rsidR="005D5574" w:rsidRPr="00F703D9">
        <w:t xml:space="preserve">Faites des recherches </w:t>
      </w:r>
      <w:r>
        <w:t xml:space="preserve">internet </w:t>
      </w:r>
      <w:r w:rsidR="005D5574" w:rsidRPr="00F703D9">
        <w:t>sur les effets des différentes molécules indiquées</w:t>
      </w:r>
      <w:r>
        <w:t>.</w:t>
      </w:r>
    </w:p>
    <w:p w:rsidR="005D5574" w:rsidRDefault="005D5574" w:rsidP="005D5574">
      <w:pPr>
        <w:rPr>
          <w:u w:val="single"/>
        </w:rPr>
      </w:pPr>
    </w:p>
    <w:p w:rsidR="005D5574" w:rsidRDefault="005D5574" w:rsidP="005D5574">
      <w:pPr>
        <w:rPr>
          <w:u w:val="single"/>
        </w:rPr>
      </w:pPr>
      <w:r>
        <w:rPr>
          <w:rStyle w:val="e24kjd"/>
        </w:rPr>
        <w:t>DEET : N,N-diéthyl-3-méthylbenzamide</w:t>
      </w:r>
    </w:p>
    <w:p w:rsidR="005D5574" w:rsidRDefault="005D5574" w:rsidP="005D5574">
      <w:pPr>
        <w:rPr>
          <w:u w:val="single"/>
        </w:rPr>
      </w:pPr>
    </w:p>
    <w:p w:rsidR="005D5574" w:rsidRDefault="005D5574" w:rsidP="005D5574">
      <w:pPr>
        <w:rPr>
          <w:u w:val="single"/>
        </w:rPr>
      </w:pPr>
    </w:p>
    <w:p w:rsidR="005D5574" w:rsidRDefault="005D5574" w:rsidP="005D5574">
      <w:pPr>
        <w:rPr>
          <w:u w:val="single"/>
        </w:rPr>
      </w:pPr>
    </w:p>
    <w:p w:rsidR="005D5574" w:rsidRDefault="005D5574" w:rsidP="005D5574">
      <w:pPr>
        <w:rPr>
          <w:u w:val="single"/>
        </w:rPr>
      </w:pPr>
    </w:p>
    <w:p w:rsidR="005D5574" w:rsidRDefault="005D5574" w:rsidP="005D5574">
      <w:pPr>
        <w:rPr>
          <w:u w:val="single"/>
        </w:rPr>
      </w:pPr>
    </w:p>
    <w:p w:rsidR="009614F0" w:rsidRDefault="009614F0" w:rsidP="005D5574">
      <w:pPr>
        <w:rPr>
          <w:u w:val="single"/>
        </w:rPr>
      </w:pPr>
    </w:p>
    <w:p w:rsidR="009614F0" w:rsidRDefault="009614F0" w:rsidP="005D5574">
      <w:pPr>
        <w:rPr>
          <w:u w:val="single"/>
        </w:rPr>
      </w:pPr>
    </w:p>
    <w:p w:rsidR="004C7DD3" w:rsidRDefault="004C7DD3" w:rsidP="00836A4E">
      <w:pPr>
        <w:rPr>
          <w:b/>
        </w:rPr>
      </w:pPr>
    </w:p>
    <w:p w:rsidR="00836A4E" w:rsidRPr="009241A5" w:rsidRDefault="000563A0" w:rsidP="00836A4E">
      <w:pPr>
        <w:rPr>
          <w:b/>
        </w:rPr>
      </w:pPr>
      <w:r>
        <w:rPr>
          <w:b/>
        </w:rPr>
        <w:lastRenderedPageBreak/>
        <w:t>Les moyens de lutte</w:t>
      </w:r>
      <w:r w:rsidR="00836A4E" w:rsidRPr="009241A5">
        <w:rPr>
          <w:b/>
        </w:rPr>
        <w:t xml:space="preserve"> contre le paludisme et sa transmission : </w:t>
      </w:r>
    </w:p>
    <w:p w:rsidR="00836A4E" w:rsidRPr="002B1B05" w:rsidRDefault="00836A4E" w:rsidP="00836A4E">
      <w:pPr>
        <w:rPr>
          <w:b/>
          <w:u w:val="single"/>
        </w:rPr>
      </w:pPr>
      <w:r w:rsidRPr="002B1B05">
        <w:rPr>
          <w:b/>
          <w:u w:val="single"/>
        </w:rPr>
        <w:t>Protection contre les anophèles</w:t>
      </w:r>
    </w:p>
    <w:p w:rsidR="000563A0" w:rsidRDefault="000563A0" w:rsidP="000563A0">
      <w:pPr>
        <w:pStyle w:val="Paragraphedeliste"/>
        <w:numPr>
          <w:ilvl w:val="0"/>
          <w:numId w:val="2"/>
        </w:numPr>
      </w:pPr>
      <w:r>
        <w:t>Porter des vêtements couvrants et imprégnés d’insecticides.</w:t>
      </w:r>
    </w:p>
    <w:p w:rsidR="00836A4E" w:rsidRDefault="00836A4E" w:rsidP="000563A0">
      <w:pPr>
        <w:pStyle w:val="Paragraphedeliste"/>
        <w:numPr>
          <w:ilvl w:val="0"/>
          <w:numId w:val="2"/>
        </w:numPr>
      </w:pPr>
      <w:r w:rsidRPr="009241A5">
        <w:t>Pulvéris</w:t>
      </w:r>
      <w:r w:rsidR="004C7DD3">
        <w:t>er</w:t>
      </w:r>
      <w:r w:rsidRPr="009241A5">
        <w:t xml:space="preserve"> </w:t>
      </w:r>
      <w:r>
        <w:t xml:space="preserve">sur </w:t>
      </w:r>
      <w:r w:rsidRPr="009241A5">
        <w:t>les murs intérieurs des habitations d</w:t>
      </w:r>
      <w:r w:rsidR="004C7DD3">
        <w:t xml:space="preserve">es </w:t>
      </w:r>
      <w:r w:rsidRPr="009241A5">
        <w:t>insec</w:t>
      </w:r>
      <w:r>
        <w:t>ticides à effet rémanent (PID)</w:t>
      </w:r>
      <w:r w:rsidR="004C7DD3">
        <w:t>.</w:t>
      </w:r>
    </w:p>
    <w:p w:rsidR="00836A4E" w:rsidRDefault="00251C50" w:rsidP="004C7DD3">
      <w:pPr>
        <w:jc w:val="both"/>
      </w:pPr>
      <w:r>
        <w:t>« </w:t>
      </w:r>
      <w:r w:rsidR="00836A4E">
        <w:t>Les fabricants de moustiquaires imprégnées d’insecticide (MII) ont indiqué en avoir livré 624 millions dans le monde entre 2015 et 2017, principalement des moustiquaires imprégnées d’insecticide longue durée (MILD). Ce chiffre traduit une augmentation considérable par rapport à la période 2012-2014, durant laquelle 465 millions de MII avaient été livrées.</w:t>
      </w:r>
      <w:r>
        <w:t> »</w:t>
      </w:r>
    </w:p>
    <w:p w:rsidR="00836A4E" w:rsidRDefault="00251C50" w:rsidP="00836A4E">
      <w:r>
        <w:t xml:space="preserve">D’après </w:t>
      </w:r>
      <w:hyperlink r:id="rId6" w:history="1">
        <w:r w:rsidRPr="00280E30">
          <w:rPr>
            <w:rStyle w:val="Lienhypertexte"/>
            <w:sz w:val="20"/>
          </w:rPr>
          <w:t>https://www.who.int/malaria/media/world-malaria-report-2018/fr/</w:t>
        </w:r>
      </w:hyperlink>
    </w:p>
    <w:p w:rsidR="000563A0" w:rsidRDefault="000563A0" w:rsidP="00836A4E"/>
    <w:p w:rsidR="000563A0" w:rsidRDefault="008C6A98" w:rsidP="00836A4E">
      <w:r w:rsidRPr="008C6A98">
        <w:rPr>
          <w:noProof/>
          <w:lang w:eastAsia="fr-FR"/>
        </w:rPr>
        <w:drawing>
          <wp:inline distT="0" distB="0" distL="0" distR="0" wp14:anchorId="00FC9220" wp14:editId="074EE581">
            <wp:extent cx="5722620" cy="4200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1801" cy="4214955"/>
                    </a:xfrm>
                    <a:prstGeom prst="rect">
                      <a:avLst/>
                    </a:prstGeom>
                  </pic:spPr>
                </pic:pic>
              </a:graphicData>
            </a:graphic>
          </wp:inline>
        </w:drawing>
      </w:r>
    </w:p>
    <w:p w:rsidR="000563A0" w:rsidRDefault="008C6A98" w:rsidP="00836A4E">
      <w:r>
        <w:t>Affiche informant de la distribution de</w:t>
      </w:r>
      <w:r w:rsidR="000563A0">
        <w:t xml:space="preserve"> moustiquaire</w:t>
      </w:r>
      <w:r>
        <w:t>s dans les centres de santé</w:t>
      </w:r>
      <w:r w:rsidR="004C7DD3">
        <w:t>.</w:t>
      </w:r>
    </w:p>
    <w:p w:rsidR="008C6A98" w:rsidRDefault="008C6A98" w:rsidP="00836A4E"/>
    <w:p w:rsidR="000563A0" w:rsidRDefault="000563A0" w:rsidP="00836A4E"/>
    <w:p w:rsidR="000563A0" w:rsidRDefault="000563A0" w:rsidP="00836A4E"/>
    <w:p w:rsidR="000563A0" w:rsidRDefault="000563A0" w:rsidP="00836A4E"/>
    <w:p w:rsidR="000563A0" w:rsidRDefault="000563A0" w:rsidP="00836A4E"/>
    <w:p w:rsidR="000563A0" w:rsidRDefault="000563A0" w:rsidP="00836A4E"/>
    <w:p w:rsidR="004C7DD3" w:rsidRPr="008C6FD9" w:rsidRDefault="008C6FD9" w:rsidP="004C7DD3">
      <w:pPr>
        <w:jc w:val="both"/>
        <w:rPr>
          <w:b/>
          <w:u w:val="single"/>
        </w:rPr>
      </w:pPr>
      <w:r w:rsidRPr="008C6FD9">
        <w:rPr>
          <w:noProof/>
          <w:lang w:eastAsia="fr-FR"/>
        </w:rPr>
        <w:lastRenderedPageBreak/>
        <w:drawing>
          <wp:anchor distT="0" distB="0" distL="114300" distR="114300" simplePos="0" relativeHeight="251659264" behindDoc="0" locked="0" layoutInCell="1" allowOverlap="1" wp14:anchorId="27DBF2F9" wp14:editId="3C0506E2">
            <wp:simplePos x="0" y="0"/>
            <wp:positionH relativeFrom="column">
              <wp:posOffset>4145280</wp:posOffset>
            </wp:positionH>
            <wp:positionV relativeFrom="paragraph">
              <wp:posOffset>6985</wp:posOffset>
            </wp:positionV>
            <wp:extent cx="1719580" cy="150114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19580" cy="1501140"/>
                    </a:xfrm>
                    <a:prstGeom prst="rect">
                      <a:avLst/>
                    </a:prstGeom>
                  </pic:spPr>
                </pic:pic>
              </a:graphicData>
            </a:graphic>
            <wp14:sizeRelH relativeFrom="page">
              <wp14:pctWidth>0</wp14:pctWidth>
            </wp14:sizeRelH>
            <wp14:sizeRelV relativeFrom="page">
              <wp14:pctHeight>0</wp14:pctHeight>
            </wp14:sizeRelV>
          </wp:anchor>
        </w:drawing>
      </w:r>
      <w:r w:rsidR="00836A4E" w:rsidRPr="008C6FD9">
        <w:rPr>
          <w:b/>
          <w:u w:val="single"/>
        </w:rPr>
        <w:t>Prévention médicamenteuse</w:t>
      </w:r>
      <w:r w:rsidR="009A2CE3" w:rsidRPr="008C6FD9">
        <w:rPr>
          <w:b/>
          <w:u w:val="single"/>
        </w:rPr>
        <w:t xml:space="preserve"> : </w:t>
      </w:r>
    </w:p>
    <w:p w:rsidR="00D10185" w:rsidRDefault="009A2CE3" w:rsidP="004C7DD3">
      <w:pPr>
        <w:jc w:val="both"/>
      </w:pPr>
      <w:r w:rsidRPr="00D10185">
        <w:t>L</w:t>
      </w:r>
      <w:r w:rsidR="00D10185" w:rsidRPr="00D10185">
        <w:t>a plupart des</w:t>
      </w:r>
      <w:r w:rsidRPr="00D10185">
        <w:t xml:space="preserve"> </w:t>
      </w:r>
      <w:r w:rsidR="008C6FD9" w:rsidRPr="00D10185">
        <w:t>antipaludique</w:t>
      </w:r>
      <w:r w:rsidRPr="00D10185">
        <w:t>s so</w:t>
      </w:r>
      <w:r w:rsidR="008C6FD9" w:rsidRPr="00D10185">
        <w:t xml:space="preserve">nt des analogues de la quinine, isolée à partir </w:t>
      </w:r>
      <w:r w:rsidR="00D10185" w:rsidRPr="00D10185">
        <w:t xml:space="preserve">de l’écorce </w:t>
      </w:r>
      <w:r w:rsidR="008C6FD9" w:rsidRPr="00D10185">
        <w:t xml:space="preserve">du </w:t>
      </w:r>
      <w:r w:rsidR="008C6FD9" w:rsidRPr="008C6FD9">
        <w:t>quinquina</w:t>
      </w:r>
      <w:r w:rsidR="00D10185">
        <w:t>,</w:t>
      </w:r>
      <w:r w:rsidR="008C6FD9" w:rsidRPr="008C6FD9">
        <w:t xml:space="preserve"> en 1820</w:t>
      </w:r>
      <w:r w:rsidR="00D10185">
        <w:t>,</w:t>
      </w:r>
      <w:r w:rsidR="008C6FD9">
        <w:t xml:space="preserve"> </w:t>
      </w:r>
      <w:r w:rsidRPr="008C6FD9">
        <w:t>par Pelletier et Caventou</w:t>
      </w:r>
      <w:r w:rsidR="00D10185">
        <w:t>.</w:t>
      </w:r>
    </w:p>
    <w:p w:rsidR="009A2CE3" w:rsidRPr="008C6FD9" w:rsidRDefault="009A2CE3" w:rsidP="004C7DD3">
      <w:pPr>
        <w:jc w:val="both"/>
      </w:pPr>
      <w:r w:rsidRPr="008C6FD9">
        <w:t xml:space="preserve"> </w:t>
      </w:r>
    </w:p>
    <w:p w:rsidR="00251C50" w:rsidRDefault="00836A4E" w:rsidP="004C7DD3">
      <w:pPr>
        <w:jc w:val="both"/>
      </w:pPr>
      <w:r>
        <w:t>Selon le pays visité, la durée du séjour et les caractéristiques individuelles de chaque voyageur, quatre médicaments peuvent être utilisés pour la prévention du paludisme :</w:t>
      </w:r>
      <w:r w:rsidR="000563A0">
        <w:t xml:space="preserve"> </w:t>
      </w:r>
    </w:p>
    <w:p w:rsidR="00836A4E" w:rsidRPr="002B1B05" w:rsidRDefault="00251C50" w:rsidP="004C7DD3">
      <w:pPr>
        <w:pStyle w:val="Paragraphedeliste"/>
        <w:numPr>
          <w:ilvl w:val="0"/>
          <w:numId w:val="1"/>
        </w:numPr>
        <w:jc w:val="both"/>
      </w:pPr>
      <w:r w:rsidRPr="002B1B05">
        <w:t>La</w:t>
      </w:r>
      <w:r w:rsidR="00836A4E" w:rsidRPr="002B1B05">
        <w:t xml:space="preserve"> chloroquine (Nivaquine ®100)</w:t>
      </w:r>
    </w:p>
    <w:p w:rsidR="008B5B13" w:rsidRDefault="00D10185" w:rsidP="008B5B13">
      <w:pPr>
        <w:jc w:val="both"/>
      </w:pPr>
      <w:r w:rsidRPr="009A2CE3">
        <w:rPr>
          <w:noProof/>
          <w:lang w:eastAsia="fr-FR"/>
        </w:rPr>
        <w:drawing>
          <wp:anchor distT="0" distB="0" distL="114300" distR="114300" simplePos="0" relativeHeight="251660288" behindDoc="0" locked="0" layoutInCell="1" allowOverlap="1" wp14:anchorId="30764979" wp14:editId="44ED61ED">
            <wp:simplePos x="0" y="0"/>
            <wp:positionH relativeFrom="margin">
              <wp:align>left</wp:align>
            </wp:positionH>
            <wp:positionV relativeFrom="paragraph">
              <wp:posOffset>33020</wp:posOffset>
            </wp:positionV>
            <wp:extent cx="1813560" cy="1402080"/>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3560" cy="1402080"/>
                    </a:xfrm>
                    <a:prstGeom prst="rect">
                      <a:avLst/>
                    </a:prstGeom>
                  </pic:spPr>
                </pic:pic>
              </a:graphicData>
            </a:graphic>
            <wp14:sizeRelH relativeFrom="page">
              <wp14:pctWidth>0</wp14:pctWidth>
            </wp14:sizeRelH>
            <wp14:sizeRelV relativeFrom="page">
              <wp14:pctHeight>0</wp14:pctHeight>
            </wp14:sizeRelV>
          </wp:anchor>
        </w:drawing>
      </w:r>
      <w:r w:rsidR="009614F0">
        <w:t xml:space="preserve">Dose prescrite :  </w:t>
      </w:r>
      <w:r w:rsidR="00836A4E">
        <w:t>Un comprimé par jour po</w:t>
      </w:r>
      <w:r w:rsidR="008B5B13">
        <w:t>ur une personne pesant au moins 50 kg. La prise est à débuter le jour de l’arrivée dans la zone impaludée et doit être poursuivie pendant 4 semaines après la sortie de cette zone.</w:t>
      </w:r>
      <w:r w:rsidR="008B5B13" w:rsidRPr="009A2CE3">
        <w:rPr>
          <w:noProof/>
          <w:lang w:eastAsia="fr-FR"/>
        </w:rPr>
        <w:t xml:space="preserve"> </w:t>
      </w:r>
    </w:p>
    <w:p w:rsidR="008B5B13" w:rsidRDefault="008B5B13" w:rsidP="008B5B13">
      <w:pPr>
        <w:jc w:val="both"/>
      </w:pPr>
      <w:r w:rsidRPr="00A57665">
        <w:rPr>
          <w:noProof/>
          <w:lang w:eastAsia="fr-FR"/>
        </w:rPr>
        <w:drawing>
          <wp:anchor distT="0" distB="0" distL="114300" distR="114300" simplePos="0" relativeHeight="251662336" behindDoc="0" locked="0" layoutInCell="1" allowOverlap="1" wp14:anchorId="37FAEE08" wp14:editId="308A82E5">
            <wp:simplePos x="0" y="0"/>
            <wp:positionH relativeFrom="column">
              <wp:posOffset>3611880</wp:posOffset>
            </wp:positionH>
            <wp:positionV relativeFrom="paragraph">
              <wp:posOffset>1120140</wp:posOffset>
            </wp:positionV>
            <wp:extent cx="2597150" cy="26314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7150" cy="2631440"/>
                    </a:xfrm>
                    <a:prstGeom prst="rect">
                      <a:avLst/>
                    </a:prstGeom>
                  </pic:spPr>
                </pic:pic>
              </a:graphicData>
            </a:graphic>
            <wp14:sizeRelH relativeFrom="page">
              <wp14:pctWidth>0</wp14:pctWidth>
            </wp14:sizeRelH>
            <wp14:sizeRelV relativeFrom="page">
              <wp14:pctHeight>0</wp14:pctHeight>
            </wp14:sizeRelV>
          </wp:anchor>
        </w:drawing>
      </w:r>
      <w:r>
        <w:t xml:space="preserve">La chloroquine a une action principalement schizonticide sur le plasmodium vivant dans le globule rouge. Pour se développer, le </w:t>
      </w:r>
      <w:r>
        <w:rPr>
          <w:i/>
          <w:iCs/>
        </w:rPr>
        <w:t>Plasmodium</w:t>
      </w:r>
      <w:r>
        <w:t xml:space="preserve"> digère l’hémoglobine et utilise les acides aminés, produits de cette digestion, pour son propre métabolisme. Il n’absorbe pas l’hème, qui est très toxique pour le parasite et la cellule. Pour rendre les hèmes libérés </w:t>
      </w:r>
      <w:proofErr w:type="spellStart"/>
      <w:r>
        <w:t>innoffensifs</w:t>
      </w:r>
      <w:proofErr w:type="spellEnd"/>
      <w:r>
        <w:t>, il les polymérise, c’est-à-dire les accroche les uns aux autres et les stocke dans une vacuole (un sac) dans l’hématie.</w:t>
      </w:r>
    </w:p>
    <w:p w:rsidR="00A57665" w:rsidRDefault="006C359D" w:rsidP="008B5B13">
      <w:pPr>
        <w:jc w:val="both"/>
      </w:pPr>
      <w:r>
        <w:rPr>
          <w:noProof/>
          <w:lang w:eastAsia="fr-FR"/>
        </w:rPr>
        <w:drawing>
          <wp:anchor distT="0" distB="0" distL="114300" distR="114300" simplePos="0" relativeHeight="251665408" behindDoc="0" locked="0" layoutInCell="1" allowOverlap="1" wp14:anchorId="28FBDCE7" wp14:editId="61565299">
            <wp:simplePos x="0" y="0"/>
            <wp:positionH relativeFrom="margin">
              <wp:posOffset>-8255</wp:posOffset>
            </wp:positionH>
            <wp:positionV relativeFrom="paragraph">
              <wp:posOffset>62230</wp:posOffset>
            </wp:positionV>
            <wp:extent cx="1098884" cy="1169879"/>
            <wp:effectExtent l="0" t="0" r="635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884" cy="1169879"/>
                    </a:xfrm>
                    <a:prstGeom prst="rect">
                      <a:avLst/>
                    </a:prstGeom>
                    <a:noFill/>
                  </pic:spPr>
                </pic:pic>
              </a:graphicData>
            </a:graphic>
            <wp14:sizeRelH relativeFrom="page">
              <wp14:pctWidth>0</wp14:pctWidth>
            </wp14:sizeRelH>
            <wp14:sizeRelV relativeFrom="page">
              <wp14:pctHeight>0</wp14:pctHeight>
            </wp14:sizeRelV>
          </wp:anchor>
        </w:drawing>
      </w:r>
    </w:p>
    <w:p w:rsidR="00A57665" w:rsidRDefault="00A57665" w:rsidP="004C7DD3">
      <w:pPr>
        <w:jc w:val="both"/>
      </w:pPr>
    </w:p>
    <w:p w:rsidR="00A57665" w:rsidRDefault="00A57665" w:rsidP="004C7DD3">
      <w:pPr>
        <w:jc w:val="both"/>
      </w:pPr>
    </w:p>
    <w:p w:rsidR="00A57665" w:rsidRDefault="00A57665" w:rsidP="004C7DD3">
      <w:pPr>
        <w:jc w:val="both"/>
      </w:pPr>
    </w:p>
    <w:p w:rsidR="00A57665" w:rsidRDefault="006C359D" w:rsidP="004C7DD3">
      <w:pPr>
        <w:jc w:val="both"/>
      </w:pPr>
      <w:r>
        <w:rPr>
          <w:noProof/>
          <w:lang w:eastAsia="fr-FR"/>
        </w:rPr>
        <mc:AlternateContent>
          <mc:Choice Requires="wps">
            <w:drawing>
              <wp:anchor distT="0" distB="0" distL="114300" distR="114300" simplePos="0" relativeHeight="251666432" behindDoc="0" locked="0" layoutInCell="1" allowOverlap="1" wp14:anchorId="45DD3FA2" wp14:editId="53DEF90D">
                <wp:simplePos x="0" y="0"/>
                <wp:positionH relativeFrom="column">
                  <wp:posOffset>-53128</wp:posOffset>
                </wp:positionH>
                <wp:positionV relativeFrom="paragraph">
                  <wp:posOffset>186478</wp:posOffset>
                </wp:positionV>
                <wp:extent cx="1786466" cy="1168400"/>
                <wp:effectExtent l="0" t="0" r="23495" b="12700"/>
                <wp:wrapNone/>
                <wp:docPr id="11" name="Zone de texte 11"/>
                <wp:cNvGraphicFramePr/>
                <a:graphic xmlns:a="http://schemas.openxmlformats.org/drawingml/2006/main">
                  <a:graphicData uri="http://schemas.microsoft.com/office/word/2010/wordprocessingShape">
                    <wps:wsp>
                      <wps:cNvSpPr txBox="1"/>
                      <wps:spPr>
                        <a:xfrm>
                          <a:off x="0" y="0"/>
                          <a:ext cx="1786466" cy="1168400"/>
                        </a:xfrm>
                        <a:prstGeom prst="rect">
                          <a:avLst/>
                        </a:prstGeom>
                        <a:solidFill>
                          <a:schemeClr val="lt1"/>
                        </a:solidFill>
                        <a:ln w="6350">
                          <a:solidFill>
                            <a:prstClr val="black"/>
                          </a:solidFill>
                        </a:ln>
                      </wps:spPr>
                      <wps:txbx>
                        <w:txbxContent>
                          <w:p w:rsidR="002E772B" w:rsidRDefault="002E772B">
                            <w:r>
                              <w:t xml:space="preserve">Hématie parasité contenant </w:t>
                            </w:r>
                            <w:r w:rsidR="009614F0">
                              <w:t>des cristaux d’</w:t>
                            </w:r>
                            <w:proofErr w:type="spellStart"/>
                            <w:r w:rsidR="009614F0">
                              <w:t>hémozoine</w:t>
                            </w:r>
                            <w:proofErr w:type="spellEnd"/>
                            <w:r w:rsidR="009614F0">
                              <w:t xml:space="preserve"> (grain </w:t>
                            </w:r>
                            <w:r>
                              <w:t>brun)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D3FA2" id="_x0000_t202" coordsize="21600,21600" o:spt="202" path="m,l,21600r21600,l21600,xe">
                <v:stroke joinstyle="miter"/>
                <v:path gradientshapeok="t" o:connecttype="rect"/>
              </v:shapetype>
              <v:shape id="Zone de texte 11" o:spid="_x0000_s1026" type="#_x0000_t202" style="position:absolute;left:0;text-align:left;margin-left:-4.2pt;margin-top:14.7pt;width:140.65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TUgIAAKkEAAAOAAAAZHJzL2Uyb0RvYy54bWysVE1vGjEQvVfqf7B8bxYoIXTFElGiVJWi&#10;JBKpIvVmvF5Y1etxbcNu+uv7bD4CaU9VL17Pp2fem9nJdddotlXO12QK3r/ocaaMpLI2q4J/e7r9&#10;MObMB2FKocmogr8oz6+n799NWpurAa1Jl8oxJDE+b23B1yHYPMu8XKtG+AuyysBYkWtEgOhWWelE&#10;i+yNzga93ihryZXWkVTeQ3uzM/Jpyl9VSoaHqvIqMF1w1BbS6dK5jGc2nYh85YRd13JfhviHKhpR&#10;Gzx6THUjgmAbV/+RqqmlI09VuJDUZFRVtVSpB3TT773pZrEWVqVeAI63R5j8/0sr77ePjtUluOtz&#10;ZkQDjr6DKVYqFlQXFIMeILXW5/BdWHiH7jN1CDjoPZSx965yTfyiKwY74H45QoxUTMagq/FoOBpx&#10;JmHr90fjYS+RkL2GW+fDF0UNi5eCO3CYoBXbOx9QClwPLvE1T7oub2utkxDnRs21Y1sBxnVIRSLi&#10;zEsb1hZ89PGylxKf2WLqY/xSC/kjtnmeAZI2UEZQds3HW+iW3R6pJZUvAMrRbt68lbc18t4JHx6F&#10;w4ABGyxNeMBRaUIxtL9xtib362/66A/eYeWsxcAW3P/cCKc4018NJuJTfziME56E4eXVAII7tSxP&#10;LWbTzAkIgXRUl67RP+jDtXLUPGO3ZvFVmISReLvg4XCdh90aYTelms2SE2bainBnFlbG1JGRiOdT&#10;9yyc3fMZp+qeDqMt8je07nxjpKHZJlBVJ84jwDtU97hjHxIt+92NC3cqJ6/XP8z0NwAAAP//AwBQ&#10;SwMEFAAGAAgAAAAhABhY8MrdAAAACQEAAA8AAABkcnMvZG93bnJldi54bWxMj8FOwzAQRO9I/IO1&#10;SNxap6GCJI1TASpcOFFQz27s2hbxOrLdNPw9ywlOu6sZzb5pt7Mf2KRjcgEFrJYFMI19UA6NgM+P&#10;l0UFLGWJSg4BtYBvnWDbXV+1slHhgu962mfDKARTIwXYnMeG89Rb7WVahlEjaacQvcx0RsNVlBcK&#10;9wMvi+Kee+mQPlg56mer+6/92QvYPZna9JWMdlcp56b5cHozr0Lc3syPG2BZz/nPDL/4hA4dMR3D&#10;GVVig4BFtSangLKmSXr5UNbAjrSs7tbAu5b/b9D9AAAA//8DAFBLAQItABQABgAIAAAAIQC2gziS&#10;/gAAAOEBAAATAAAAAAAAAAAAAAAAAAAAAABbQ29udGVudF9UeXBlc10ueG1sUEsBAi0AFAAGAAgA&#10;AAAhADj9If/WAAAAlAEAAAsAAAAAAAAAAAAAAAAALwEAAF9yZWxzLy5yZWxzUEsBAi0AFAAGAAgA&#10;AAAhAMVv8NNSAgAAqQQAAA4AAAAAAAAAAAAAAAAALgIAAGRycy9lMm9Eb2MueG1sUEsBAi0AFAAG&#10;AAgAAAAhABhY8MrdAAAACQEAAA8AAAAAAAAAAAAAAAAArAQAAGRycy9kb3ducmV2LnhtbFBLBQYA&#10;AAAABAAEAPMAAAC2BQAAAAA=&#10;" fillcolor="white [3201]" strokeweight=".5pt">
                <v:textbox>
                  <w:txbxContent>
                    <w:p w:rsidR="002E772B" w:rsidRDefault="002E772B">
                      <w:r>
                        <w:t xml:space="preserve">Hématie parasité contenant </w:t>
                      </w:r>
                      <w:r w:rsidR="009614F0">
                        <w:t>des cristaux d’</w:t>
                      </w:r>
                      <w:proofErr w:type="spellStart"/>
                      <w:r w:rsidR="009614F0">
                        <w:t>hémozoine</w:t>
                      </w:r>
                      <w:proofErr w:type="spellEnd"/>
                      <w:r w:rsidR="009614F0">
                        <w:t xml:space="preserve"> (grain </w:t>
                      </w:r>
                      <w:r>
                        <w:t>brun)</w:t>
                      </w:r>
                    </w:p>
                  </w:txbxContent>
                </v:textbox>
              </v:shape>
            </w:pict>
          </mc:Fallback>
        </mc:AlternateContent>
      </w:r>
    </w:p>
    <w:p w:rsidR="00A57665" w:rsidRDefault="00A57665" w:rsidP="004C7DD3">
      <w:pPr>
        <w:jc w:val="both"/>
      </w:pPr>
    </w:p>
    <w:p w:rsidR="002E772B" w:rsidRDefault="002E772B" w:rsidP="004C7DD3">
      <w:pPr>
        <w:jc w:val="both"/>
      </w:pPr>
    </w:p>
    <w:p w:rsidR="002E772B" w:rsidRDefault="002E772B" w:rsidP="004C7DD3">
      <w:pPr>
        <w:jc w:val="both"/>
      </w:pPr>
    </w:p>
    <w:p w:rsidR="002E772B" w:rsidRDefault="008B5B13" w:rsidP="004C7DD3">
      <w:pPr>
        <w:jc w:val="both"/>
      </w:pPr>
      <w:r>
        <w:rPr>
          <w:noProof/>
          <w:lang w:eastAsia="fr-FR"/>
        </w:rPr>
        <mc:AlternateContent>
          <mc:Choice Requires="wps">
            <w:drawing>
              <wp:anchor distT="45720" distB="45720" distL="114300" distR="114300" simplePos="0" relativeHeight="251664384" behindDoc="0" locked="0" layoutInCell="1" allowOverlap="1" wp14:anchorId="2C2671BE" wp14:editId="59E64C74">
                <wp:simplePos x="0" y="0"/>
                <wp:positionH relativeFrom="column">
                  <wp:posOffset>2570480</wp:posOffset>
                </wp:positionH>
                <wp:positionV relativeFrom="paragraph">
                  <wp:posOffset>58208</wp:posOffset>
                </wp:positionV>
                <wp:extent cx="3860800" cy="941070"/>
                <wp:effectExtent l="0" t="0" r="2540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941070"/>
                        </a:xfrm>
                        <a:prstGeom prst="rect">
                          <a:avLst/>
                        </a:prstGeom>
                        <a:solidFill>
                          <a:srgbClr val="FFFFFF"/>
                        </a:solidFill>
                        <a:ln w="9525">
                          <a:solidFill>
                            <a:srgbClr val="000000"/>
                          </a:solidFill>
                          <a:miter lim="800000"/>
                          <a:headEnd/>
                          <a:tailEnd/>
                        </a:ln>
                      </wps:spPr>
                      <wps:txbx>
                        <w:txbxContent>
                          <w:p w:rsidR="00A57665" w:rsidRDefault="002E772B">
                            <w:r>
                              <w:t>Sur cette image en MET, on observe une vésicule de transport (tv) déversant des protéines de détoxification de l’hème (</w:t>
                            </w:r>
                            <w:proofErr w:type="spellStart"/>
                            <w:r>
                              <w:t>hdp</w:t>
                            </w:r>
                            <w:proofErr w:type="spellEnd"/>
                            <w:r>
                              <w:t>) dans la vacuole digestive (</w:t>
                            </w:r>
                            <w:proofErr w:type="spellStart"/>
                            <w:r>
                              <w:t>fv</w:t>
                            </w:r>
                            <w:proofErr w:type="spellEnd"/>
                            <w:r>
                              <w:t>) contenant les molécule d’</w:t>
                            </w:r>
                            <w:proofErr w:type="spellStart"/>
                            <w:r>
                              <w:t>hémozoine</w:t>
                            </w:r>
                            <w:proofErr w:type="spellEnd"/>
                            <w:r>
                              <w:t xml:space="preserve"> (</w:t>
                            </w:r>
                            <w:proofErr w:type="spellStart"/>
                            <w:r>
                              <w:t>hz</w:t>
                            </w:r>
                            <w:proofErr w:type="spellEnd"/>
                            <w:r>
                              <w:t>)</w:t>
                            </w:r>
                          </w:p>
                          <w:p w:rsidR="002E772B" w:rsidRDefault="00CD78C5">
                            <w:hyperlink r:id="rId12" w:history="1">
                              <w:r w:rsidR="002E772B" w:rsidRPr="00B54283">
                                <w:rPr>
                                  <w:rStyle w:val="Lienhypertexte"/>
                                </w:rPr>
                                <w:t>https://www.wikiwand.com/en/Hemozoin</w:t>
                              </w:r>
                            </w:hyperlink>
                          </w:p>
                          <w:p w:rsidR="002E772B" w:rsidRDefault="002E7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671BE" id="Zone de texte 2" o:spid="_x0000_s1027" type="#_x0000_t202" style="position:absolute;left:0;text-align:left;margin-left:202.4pt;margin-top:4.6pt;width:304pt;height:74.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AyLAIAAFIEAAAOAAAAZHJzL2Uyb0RvYy54bWysVE2P0zAQvSPxHyzfadLQbrtR09XSpQhp&#10;+ZAWLtwc22ksHI+x3Sbl1zN2ut1qgQvCB8uTGT+/eTOT1c3QaXKQziswFZ1Ockqk4SCU2VX065ft&#10;qyUlPjAjmAYjK3qUnt6sX75Y9baUBbSghXQEQYwve1vRNgRbZpnnreyYn4CVBp0NuI4FNN0uE471&#10;iN7prMjzq6wHJ6wDLr3Hr3ejk64TftNIHj41jZeB6Ioit5B2l/Y67tl6xcqdY7ZV/ESD/QOLjimD&#10;j56h7lhgZO/Ub1Cd4g48NGHCocugaRSXKQfMZpo/y+ahZVamXFAcb88y+f8Hyz8ePjuiREWL6YIS&#10;wzos0jcsFRGSBDkESYooUm99ibEPFqPD8AYGLHZK2Nt74N89MbBpmdnJW+egbyUTSHIab2YXV0cc&#10;H0Hq/gMIfIvtAySgoXFdVBA1IYiOxTqeC4Q8CMePr5dX+TJHF0ff9WyaL1IFM1Y+3rbOh3cSOhIP&#10;FXXYAAmdHe59iGxY+RgSH/OgldgqrZPhdvVGO3Jg2CzbtFICz8K0IT2+Pi/mowB/hcjT+hNEpwJ2&#10;vVZdRTEdXDGIlVG2t0akc2BKj2ekrM1JxyjdKGIY6iHVLYkcNa5BHFFYB2OT41DioQX3k5IeG7yi&#10;/seeOUmJfm+wONfT2SxORDJm80WBhrv01JceZjhCVTRQMh43IU1RpG3gFovYqKTvE5MTZWzcJPtp&#10;yOJkXNop6ulXsP4FAAD//wMAUEsDBBQABgAIAAAAIQBOuyRm4AAAAAoBAAAPAAAAZHJzL2Rvd25y&#10;ZXYueG1sTI9LT8MwEITvSPwHa5G4oNZuCH2EOBVCAtEbtAiubrxNIvwItpuGf8/2BLedndXMt+V6&#10;tIYNGGLnnYTZVABDV3vduUbC++5psgQWk3JaGe9Qwg9GWFeXF6UqtD+5Nxy2qWEU4mKhJLQp9QXn&#10;sW7Rqjj1PTryDj5YlUiGhuugThRuDc+EmHOrOkcNrerxscX6a3u0Epb5y/AZN7evH/X8YFbpZjE8&#10;fwcpr6/Gh3tgCcf0dwxnfEKHipj2/uh0ZEZCLnJCTxJWGbCzL2YZLfY03S1y4FXJ/79Q/QIAAP//&#10;AwBQSwECLQAUAAYACAAAACEAtoM4kv4AAADhAQAAEwAAAAAAAAAAAAAAAAAAAAAAW0NvbnRlbnRf&#10;VHlwZXNdLnhtbFBLAQItABQABgAIAAAAIQA4/SH/1gAAAJQBAAALAAAAAAAAAAAAAAAAAC8BAABf&#10;cmVscy8ucmVsc1BLAQItABQABgAIAAAAIQBaU5AyLAIAAFIEAAAOAAAAAAAAAAAAAAAAAC4CAABk&#10;cnMvZTJvRG9jLnhtbFBLAQItABQABgAIAAAAIQBOuyRm4AAAAAoBAAAPAAAAAAAAAAAAAAAAAIYE&#10;AABkcnMvZG93bnJldi54bWxQSwUGAAAAAAQABADzAAAAkwUAAAAA&#10;">
                <v:textbox>
                  <w:txbxContent>
                    <w:p w:rsidR="00A57665" w:rsidRDefault="002E772B">
                      <w:r>
                        <w:t>Sur cette image en MET, on observe une vésicule de transport (tv) déversant des protéines de détoxification de l’hème (</w:t>
                      </w:r>
                      <w:proofErr w:type="spellStart"/>
                      <w:r>
                        <w:t>hdp</w:t>
                      </w:r>
                      <w:proofErr w:type="spellEnd"/>
                      <w:r>
                        <w:t>) dans la vacuole digestive (</w:t>
                      </w:r>
                      <w:proofErr w:type="spellStart"/>
                      <w:r>
                        <w:t>fv</w:t>
                      </w:r>
                      <w:proofErr w:type="spellEnd"/>
                      <w:r>
                        <w:t>) contenant les molécule d’</w:t>
                      </w:r>
                      <w:proofErr w:type="spellStart"/>
                      <w:r>
                        <w:t>hémozoine</w:t>
                      </w:r>
                      <w:proofErr w:type="spellEnd"/>
                      <w:r>
                        <w:t xml:space="preserve"> (</w:t>
                      </w:r>
                      <w:proofErr w:type="spellStart"/>
                      <w:r>
                        <w:t>hz</w:t>
                      </w:r>
                      <w:proofErr w:type="spellEnd"/>
                      <w:r>
                        <w:t>)</w:t>
                      </w:r>
                    </w:p>
                    <w:p w:rsidR="002E772B" w:rsidRDefault="00CD78C5">
                      <w:hyperlink r:id="rId13" w:history="1">
                        <w:r w:rsidR="002E772B" w:rsidRPr="00B54283">
                          <w:rPr>
                            <w:rStyle w:val="Lienhypertexte"/>
                          </w:rPr>
                          <w:t>https://www.wikiwand.com/en/Hemozoin</w:t>
                        </w:r>
                      </w:hyperlink>
                    </w:p>
                    <w:p w:rsidR="002E772B" w:rsidRDefault="002E772B"/>
                  </w:txbxContent>
                </v:textbox>
                <w10:wrap type="square"/>
              </v:shape>
            </w:pict>
          </mc:Fallback>
        </mc:AlternateContent>
      </w:r>
      <w:r>
        <w:rPr>
          <w:noProof/>
          <w:lang w:eastAsia="fr-FR"/>
        </w:rPr>
        <w:drawing>
          <wp:anchor distT="0" distB="0" distL="114300" distR="114300" simplePos="0" relativeHeight="251667456" behindDoc="0" locked="0" layoutInCell="1" allowOverlap="1" wp14:anchorId="3FFE7AA8" wp14:editId="20B4453E">
            <wp:simplePos x="0" y="0"/>
            <wp:positionH relativeFrom="margin">
              <wp:posOffset>-354330</wp:posOffset>
            </wp:positionH>
            <wp:positionV relativeFrom="paragraph">
              <wp:posOffset>275590</wp:posOffset>
            </wp:positionV>
            <wp:extent cx="2302510" cy="1443355"/>
            <wp:effectExtent l="0" t="0" r="2540" b="444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2510" cy="1443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70528" behindDoc="0" locked="0" layoutInCell="1" allowOverlap="1" wp14:anchorId="1DFE064A" wp14:editId="3543F6C9">
                <wp:simplePos x="0" y="0"/>
                <wp:positionH relativeFrom="column">
                  <wp:posOffset>-485352</wp:posOffset>
                </wp:positionH>
                <wp:positionV relativeFrom="paragraph">
                  <wp:posOffset>1709420</wp:posOffset>
                </wp:positionV>
                <wp:extent cx="3225800" cy="838200"/>
                <wp:effectExtent l="0" t="0" r="1270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838200"/>
                        </a:xfrm>
                        <a:prstGeom prst="rect">
                          <a:avLst/>
                        </a:prstGeom>
                        <a:solidFill>
                          <a:srgbClr val="FFFFFF"/>
                        </a:solidFill>
                        <a:ln w="9525">
                          <a:solidFill>
                            <a:srgbClr val="000000"/>
                          </a:solidFill>
                          <a:miter lim="800000"/>
                          <a:headEnd/>
                          <a:tailEnd/>
                        </a:ln>
                      </wps:spPr>
                      <wps:txbx>
                        <w:txbxContent>
                          <w:p w:rsidR="002E772B" w:rsidRDefault="002E772B">
                            <w:r>
                              <w:t>S</w:t>
                            </w:r>
                            <w:r w:rsidRPr="002E772B">
                              <w:t>tructure</w:t>
                            </w:r>
                            <w:r>
                              <w:t xml:space="preserve"> moléculaire d’</w:t>
                            </w:r>
                            <w:r w:rsidRPr="002E772B">
                              <w:t>hemozoin</w:t>
                            </w:r>
                            <w:r>
                              <w:t>e</w:t>
                            </w:r>
                            <w:r w:rsidRPr="002E772B">
                              <w:t xml:space="preserve">, </w:t>
                            </w:r>
                            <w:r>
                              <w:t>montrant les liaisons hydrogènes entre les hèmes (</w:t>
                            </w:r>
                            <w:r w:rsidR="006C359D">
                              <w:t>pointillés</w:t>
                            </w:r>
                            <w:r>
                              <w:t>) et les liaison</w:t>
                            </w:r>
                            <w:r w:rsidR="006C359D">
                              <w:t>s</w:t>
                            </w:r>
                            <w:r>
                              <w:t xml:space="preserve"> de coordination entre les atomes de fer et les chaines carboxylées (lignes rouges)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E064A" id="_x0000_s1028" type="#_x0000_t202" style="position:absolute;left:0;text-align:left;margin-left:-38.2pt;margin-top:134.6pt;width:254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QXKAIAAFEEAAAOAAAAZHJzL2Uyb0RvYy54bWysVE2P0zAQvSPxHyzfadJsC92o6WrpUoS0&#10;fEgLF26u7TQWtsfYbpPy6xk73VK+LogcLI9n/Dzz3kyWN4PR5CB9UGAbOp2UlEjLQSi7a+inj5tn&#10;C0pCZFYwDVY29CgDvVk9fbLsXS0r6EAL6QmC2FD3rqFdjK4uisA7aViYgJMWnS14wyKaflcIz3pE&#10;N7qoyvJ50YMXzgOXIeDp3eikq4zftpLH920bZCS6oZhbzKvP6zatxWrJ6p1nrlP8lAb7hywMUxYf&#10;PUPdscjI3qvfoIziHgK0ccLBFNC2istcA1YzLX+p5qFjTuZakJzgzjSF/wfL3x0+eKIEaldRYplB&#10;jT6jUkRIEuUQJakSR70LNYY+OAyOw0sYMD7XG9w98C+BWFh3zO7krffQd5IJzHGabhYXV0eckEC2&#10;/VsQ+BbbR8hAQ+tNIhApIYiOWh3P+mAehOPhVVXNFyW6OPoWVwtsgPwEqx9vOx/iawmGpE1DPeqf&#10;0dnhPsSUDasfQ9JjAbQSG6V1Nvxuu9aeHBj2yiZ/J/SfwrQlfUOv59V8JOCvEGX+/gRhVMSm18pg&#10;FecgVifaXlmRWzIypcc9pqzticdE3UhiHLZDlu0szxbEEYn1MPY4ziRuOvDfKOmxvxsavu6Zl5To&#10;NxbFuZ7OZmkgsjGbv6jQ8Jee7aWHWY5QDY2UjNt1zEOUeLNwiyK2KvOb1B4zOaWMfZtpP81YGoxL&#10;O0f9+BOsvgMAAP//AwBQSwMEFAAGAAgAAAAhAJ1XNVjiAAAACwEAAA8AAABkcnMvZG93bnJldi54&#10;bWxMj8FOwzAMhu9IvENkJC5oS9tV2VaaTggJBLcx0HbNGq+tSJzSZF15e8IJbrb86ff3l5vJGjbi&#10;4DtHEtJ5AgypdrqjRsLH+9NsBcwHRVoZRyjhGz1squurUhXaXegNx11oWAwhXygJbQh9wbmvW7TK&#10;z12PFG8nN1gV4jo0XA/qEsOt4VmSCG5VR/FDq3p8bLH+3J2thFX+Mh7862K7r8XJrMPdcnz+GqS8&#10;vZke7oEFnMIfDL/6UR2q6HR0Z9KeGQmzpcgjKiET6wxYJPJFKoAd45CkGfCq5P87VD8AAAD//wMA&#10;UEsBAi0AFAAGAAgAAAAhALaDOJL+AAAA4QEAABMAAAAAAAAAAAAAAAAAAAAAAFtDb250ZW50X1R5&#10;cGVzXS54bWxQSwECLQAUAAYACAAAACEAOP0h/9YAAACUAQAACwAAAAAAAAAAAAAAAAAvAQAAX3Jl&#10;bHMvLnJlbHNQSwECLQAUAAYACAAAACEAnstkFygCAABRBAAADgAAAAAAAAAAAAAAAAAuAgAAZHJz&#10;L2Uyb0RvYy54bWxQSwECLQAUAAYACAAAACEAnVc1WOIAAAALAQAADwAAAAAAAAAAAAAAAACCBAAA&#10;ZHJzL2Rvd25yZXYueG1sUEsFBgAAAAAEAAQA8wAAAJEFAAAAAA==&#10;">
                <v:textbox>
                  <w:txbxContent>
                    <w:p w:rsidR="002E772B" w:rsidRDefault="002E772B">
                      <w:r>
                        <w:t>S</w:t>
                      </w:r>
                      <w:r w:rsidRPr="002E772B">
                        <w:t>tructure</w:t>
                      </w:r>
                      <w:r>
                        <w:t xml:space="preserve"> moléculaire d’</w:t>
                      </w:r>
                      <w:r w:rsidRPr="002E772B">
                        <w:t>hemozoin</w:t>
                      </w:r>
                      <w:r>
                        <w:t>e</w:t>
                      </w:r>
                      <w:r w:rsidRPr="002E772B">
                        <w:t xml:space="preserve">, </w:t>
                      </w:r>
                      <w:r>
                        <w:t>montrant les liaisons hydrogènes entre les hèmes (</w:t>
                      </w:r>
                      <w:r w:rsidR="006C359D">
                        <w:t>pointillés</w:t>
                      </w:r>
                      <w:r>
                        <w:t>) et les liaison</w:t>
                      </w:r>
                      <w:r w:rsidR="006C359D">
                        <w:t>s</w:t>
                      </w:r>
                      <w:r>
                        <w:t xml:space="preserve"> de coordination entre les atomes de fer et les chaines carboxylées (lignes rouges)</w:t>
                      </w:r>
                    </w:p>
                  </w:txbxContent>
                </v:textbox>
                <w10:wrap type="square"/>
              </v:shape>
            </w:pict>
          </mc:Fallback>
        </mc:AlternateContent>
      </w:r>
      <w:r w:rsidR="002E772B" w:rsidRPr="002E772B">
        <w:t xml:space="preserve"> </w:t>
      </w:r>
      <w:r w:rsidR="006C359D">
        <w:t xml:space="preserve">    </w:t>
      </w:r>
    </w:p>
    <w:p w:rsidR="008B5B13" w:rsidRDefault="008B5B13" w:rsidP="008B5B13">
      <w:pPr>
        <w:jc w:val="both"/>
      </w:pPr>
    </w:p>
    <w:p w:rsidR="00CD78C5" w:rsidRDefault="00CD78C5" w:rsidP="00CD78C5">
      <w:pPr>
        <w:ind w:left="1416" w:firstLine="708"/>
        <w:jc w:val="right"/>
      </w:pPr>
      <w:r>
        <w:rPr>
          <w:noProof/>
          <w:lang w:eastAsia="fr-FR"/>
        </w:rPr>
        <w:drawing>
          <wp:anchor distT="0" distB="0" distL="114300" distR="114300" simplePos="0" relativeHeight="251671552" behindDoc="0" locked="0" layoutInCell="1" allowOverlap="1" wp14:anchorId="6C3BF09C" wp14:editId="528A937F">
            <wp:simplePos x="0" y="0"/>
            <wp:positionH relativeFrom="page">
              <wp:posOffset>5468620</wp:posOffset>
            </wp:positionH>
            <wp:positionV relativeFrom="paragraph">
              <wp:posOffset>512445</wp:posOffset>
            </wp:positionV>
            <wp:extent cx="1725362" cy="1438957"/>
            <wp:effectExtent l="0" t="0" r="8255" b="889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362" cy="1438957"/>
                    </a:xfrm>
                    <a:prstGeom prst="rect">
                      <a:avLst/>
                    </a:prstGeom>
                    <a:noFill/>
                  </pic:spPr>
                </pic:pic>
              </a:graphicData>
            </a:graphic>
            <wp14:sizeRelH relativeFrom="page">
              <wp14:pctWidth>0</wp14:pctWidth>
            </wp14:sizeRelH>
            <wp14:sizeRelV relativeFrom="page">
              <wp14:pctHeight>0</wp14:pctHeight>
            </wp14:sizeRelV>
          </wp:anchor>
        </w:drawing>
      </w:r>
    </w:p>
    <w:p w:rsidR="00CD78C5" w:rsidRDefault="00CD78C5" w:rsidP="00CD78C5">
      <w:pPr>
        <w:ind w:left="1416" w:firstLine="708"/>
        <w:jc w:val="right"/>
      </w:pPr>
    </w:p>
    <w:p w:rsidR="006C359D" w:rsidRDefault="006C359D" w:rsidP="00CD78C5">
      <w:pPr>
        <w:ind w:left="1416" w:firstLine="708"/>
        <w:jc w:val="right"/>
      </w:pPr>
      <w:r>
        <w:t>Cristaux</w:t>
      </w:r>
      <w:r w:rsidR="002E772B">
        <w:t xml:space="preserve"> d’</w:t>
      </w:r>
      <w:proofErr w:type="spellStart"/>
      <w:r w:rsidR="002E772B">
        <w:t>hémozoine</w:t>
      </w:r>
      <w:proofErr w:type="spellEnd"/>
      <w:r w:rsidR="002E772B">
        <w:t>, extrait</w:t>
      </w:r>
      <w:r>
        <w:t>s</w:t>
      </w:r>
      <w:r w:rsidR="009614F0">
        <w:t xml:space="preserve"> d’un parasit</w:t>
      </w:r>
      <w:r w:rsidR="00CD78C5">
        <w:t>e</w:t>
      </w:r>
    </w:p>
    <w:p w:rsidR="006C359D" w:rsidRDefault="006C359D" w:rsidP="004C7DD3">
      <w:pPr>
        <w:jc w:val="both"/>
      </w:pPr>
    </w:p>
    <w:p w:rsidR="0070591A" w:rsidRDefault="0070591A" w:rsidP="004C7DD3">
      <w:pPr>
        <w:jc w:val="both"/>
      </w:pPr>
    </w:p>
    <w:p w:rsidR="00D10185" w:rsidRDefault="00D10185" w:rsidP="004C7DD3">
      <w:pPr>
        <w:jc w:val="both"/>
      </w:pPr>
      <w:bookmarkStart w:id="0" w:name="_GoBack"/>
      <w:bookmarkEnd w:id="0"/>
      <w:r>
        <w:lastRenderedPageBreak/>
        <w:t>Comment la chloroquine agit-elle ?</w:t>
      </w:r>
      <w:r w:rsidR="008C6FD9">
        <w:t xml:space="preserve"> </w:t>
      </w:r>
    </w:p>
    <w:p w:rsidR="008C6FD9" w:rsidRDefault="008C6FD9" w:rsidP="004C7DD3">
      <w:pPr>
        <w:jc w:val="both"/>
      </w:pPr>
      <w:r>
        <w:t xml:space="preserve">La chloroquine </w:t>
      </w:r>
      <w:r w:rsidR="00C91B67">
        <w:t>empêche</w:t>
      </w:r>
      <w:r>
        <w:t xml:space="preserve"> la cristallisation des hèmes dans cette vacuole</w:t>
      </w:r>
      <w:r w:rsidR="00C91B67">
        <w:t>, et forme un complexe toxique qui détruit le plasmodium dans le globule rouge.</w:t>
      </w:r>
    </w:p>
    <w:p w:rsidR="0070591A" w:rsidRDefault="0070591A" w:rsidP="004C7DD3">
      <w:pPr>
        <w:jc w:val="both"/>
      </w:pPr>
    </w:p>
    <w:p w:rsidR="00836A4E" w:rsidRPr="002B1B05" w:rsidRDefault="00251C50" w:rsidP="004C7DD3">
      <w:pPr>
        <w:pStyle w:val="Paragraphedeliste"/>
        <w:numPr>
          <w:ilvl w:val="0"/>
          <w:numId w:val="1"/>
        </w:numPr>
        <w:jc w:val="both"/>
      </w:pPr>
      <w:r w:rsidRPr="002B1B05">
        <w:t>L’association</w:t>
      </w:r>
      <w:r w:rsidR="00836A4E" w:rsidRPr="002B1B05">
        <w:t xml:space="preserve"> </w:t>
      </w:r>
      <w:proofErr w:type="spellStart"/>
      <w:r w:rsidR="00836A4E" w:rsidRPr="002B1B05">
        <w:t>atovaquone</w:t>
      </w:r>
      <w:proofErr w:type="spellEnd"/>
      <w:r w:rsidR="00836A4E" w:rsidRPr="002B1B05">
        <w:t xml:space="preserve"> (250 mg) - proguanil (100 mg) (</w:t>
      </w:r>
      <w:proofErr w:type="spellStart"/>
      <w:r w:rsidR="00836A4E" w:rsidRPr="002B1B05">
        <w:t>Malarone</w:t>
      </w:r>
      <w:proofErr w:type="spellEnd"/>
      <w:r w:rsidR="00836A4E" w:rsidRPr="002B1B05">
        <w:t>®)</w:t>
      </w:r>
      <w:r w:rsidR="009A2CE3">
        <w:t xml:space="preserve"> </w:t>
      </w:r>
      <w:proofErr w:type="spellStart"/>
      <w:r w:rsidR="009A2CE3">
        <w:t>Schizonticide</w:t>
      </w:r>
      <w:proofErr w:type="spellEnd"/>
      <w:r w:rsidR="009A2CE3">
        <w:t xml:space="preserve"> à action lente</w:t>
      </w:r>
    </w:p>
    <w:p w:rsidR="00836A4E" w:rsidRDefault="00836A4E" w:rsidP="004C7DD3">
      <w:pPr>
        <w:jc w:val="both"/>
      </w:pPr>
      <w:r>
        <w:t>Un comprimé par jour au cours d’un repas, pour une personne pesant plus de 40 kg.</w:t>
      </w:r>
    </w:p>
    <w:p w:rsidR="00836A4E" w:rsidRDefault="00836A4E" w:rsidP="004C7DD3">
      <w:pPr>
        <w:jc w:val="both"/>
      </w:pPr>
      <w:r>
        <w:t>La prise est à débuter le jour d’arrivée dans la zone impaludée et doit être poursuivie pendant une semaine après la sortie de cette zone.</w:t>
      </w:r>
    </w:p>
    <w:p w:rsidR="00836A4E" w:rsidRDefault="008C6FD9" w:rsidP="004C7DD3">
      <w:pPr>
        <w:jc w:val="both"/>
      </w:pPr>
      <w:r>
        <w:rPr>
          <w:noProof/>
          <w:lang w:eastAsia="fr-FR"/>
        </w:rPr>
        <w:drawing>
          <wp:anchor distT="0" distB="0" distL="114300" distR="114300" simplePos="0" relativeHeight="251661312" behindDoc="0" locked="0" layoutInCell="1" allowOverlap="1" wp14:anchorId="35E158A3" wp14:editId="21124127">
            <wp:simplePos x="0" y="0"/>
            <wp:positionH relativeFrom="column">
              <wp:posOffset>4791141</wp:posOffset>
            </wp:positionH>
            <wp:positionV relativeFrom="paragraph">
              <wp:posOffset>404796</wp:posOffset>
            </wp:positionV>
            <wp:extent cx="1242060" cy="1386840"/>
            <wp:effectExtent l="0" t="0" r="0"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060" cy="1386840"/>
                    </a:xfrm>
                    <a:prstGeom prst="rect">
                      <a:avLst/>
                    </a:prstGeom>
                    <a:noFill/>
                  </pic:spPr>
                </pic:pic>
              </a:graphicData>
            </a:graphic>
            <wp14:sizeRelH relativeFrom="page">
              <wp14:pctWidth>0</wp14:pctWidth>
            </wp14:sizeRelH>
            <wp14:sizeRelV relativeFrom="page">
              <wp14:pctHeight>0</wp14:pctHeight>
            </wp14:sizeRelV>
          </wp:anchor>
        </w:drawing>
      </w:r>
      <w:r w:rsidR="00836A4E">
        <w:t xml:space="preserve">La durée de prise continue de l’atovaquone-proguanil dans cette indication devra être limitée à 3 mois, faute de disposer à ce jour d’un recul suffisant en prophylaxie prolongée. </w:t>
      </w:r>
    </w:p>
    <w:p w:rsidR="00F4761F" w:rsidRDefault="00F4761F" w:rsidP="004C7DD3">
      <w:pPr>
        <w:jc w:val="both"/>
      </w:pPr>
      <w:r>
        <w:t xml:space="preserve">Ces molécules tuent les </w:t>
      </w:r>
      <w:proofErr w:type="spellStart"/>
      <w:r>
        <w:t>schizontes</w:t>
      </w:r>
      <w:proofErr w:type="spellEnd"/>
      <w:r>
        <w:t xml:space="preserve"> du sang et du foie de l’homme. Il</w:t>
      </w:r>
      <w:r>
        <w:rPr>
          <w:rStyle w:val="Lienhypertexte"/>
        </w:rPr>
        <w:t xml:space="preserve"> </w:t>
      </w:r>
      <w:r>
        <w:rPr>
          <w:rStyle w:val="hgkelc"/>
        </w:rPr>
        <w:t>inhibe</w:t>
      </w:r>
      <w:r>
        <w:rPr>
          <w:rStyle w:val="hgkelc"/>
        </w:rPr>
        <w:t xml:space="preserve"> </w:t>
      </w:r>
      <w:r>
        <w:rPr>
          <w:rStyle w:val="hgkelc"/>
        </w:rPr>
        <w:t xml:space="preserve">le </w:t>
      </w:r>
      <w:r>
        <w:rPr>
          <w:rStyle w:val="hgkelc"/>
        </w:rPr>
        <w:t>transport des électrons au niveau du complexe bc1 du cytochrome des mitochondries du parasite</w:t>
      </w:r>
      <w:r>
        <w:rPr>
          <w:rStyle w:val="hgkelc"/>
        </w:rPr>
        <w:t>.</w:t>
      </w:r>
    </w:p>
    <w:p w:rsidR="00836A4E" w:rsidRPr="002B1B05" w:rsidRDefault="00251C50" w:rsidP="004C7DD3">
      <w:pPr>
        <w:pStyle w:val="Paragraphedeliste"/>
        <w:numPr>
          <w:ilvl w:val="0"/>
          <w:numId w:val="1"/>
        </w:numPr>
        <w:jc w:val="both"/>
      </w:pPr>
      <w:r w:rsidRPr="002B1B05">
        <w:t>La</w:t>
      </w:r>
      <w:r w:rsidR="00836A4E" w:rsidRPr="002B1B05">
        <w:t xml:space="preserve"> </w:t>
      </w:r>
      <w:proofErr w:type="spellStart"/>
      <w:r w:rsidR="00836A4E" w:rsidRPr="002B1B05">
        <w:t>méfloquine</w:t>
      </w:r>
      <w:proofErr w:type="spellEnd"/>
      <w:r w:rsidR="00836A4E" w:rsidRPr="002B1B05">
        <w:t xml:space="preserve"> (</w:t>
      </w:r>
      <w:proofErr w:type="spellStart"/>
      <w:r w:rsidR="00836A4E" w:rsidRPr="002B1B05">
        <w:t>Lariam</w:t>
      </w:r>
      <w:proofErr w:type="spellEnd"/>
      <w:r w:rsidR="00836A4E" w:rsidRPr="002B1B05">
        <w:t>® 250)</w:t>
      </w:r>
      <w:r w:rsidR="009A2CE3" w:rsidRPr="009A2CE3">
        <w:t xml:space="preserve"> </w:t>
      </w:r>
      <w:proofErr w:type="spellStart"/>
      <w:r w:rsidR="009A2CE3">
        <w:t>schizonticide</w:t>
      </w:r>
      <w:proofErr w:type="spellEnd"/>
      <w:r w:rsidR="009A2CE3">
        <w:t xml:space="preserve"> à action rapide et gamétocide</w:t>
      </w:r>
    </w:p>
    <w:p w:rsidR="00836A4E" w:rsidRPr="00835B63" w:rsidRDefault="00836A4E" w:rsidP="004C7DD3">
      <w:pPr>
        <w:jc w:val="both"/>
        <w:rPr>
          <w:u w:val="single"/>
        </w:rPr>
      </w:pPr>
      <w:r>
        <w:t>Un comprimé une fois par semaine, pour une personne pesant plus de 45 kg.</w:t>
      </w:r>
    </w:p>
    <w:p w:rsidR="00836A4E" w:rsidRDefault="00836A4E" w:rsidP="004C7DD3">
      <w:pPr>
        <w:jc w:val="both"/>
      </w:pPr>
      <w:r>
        <w:t>La prise doit être débutée au moins 10 jours avant le départ, pour permettre d’apprécier la tolérance du médicament ; dans la mesure du possible et sauf s’il a été bien toléré lors d’une prise antérieure, il est même préférable, d’effectuer trois prises avant le départ, afin de détecter un éventuel effet secondaire survenant plus tardivement.</w:t>
      </w:r>
    </w:p>
    <w:p w:rsidR="00836A4E" w:rsidRDefault="00836A4E" w:rsidP="004C7DD3">
      <w:pPr>
        <w:jc w:val="both"/>
      </w:pPr>
      <w:r>
        <w:t xml:space="preserve"> L’apparition sous traitement de troubles </w:t>
      </w:r>
      <w:r w:rsidR="00251C50">
        <w:t>neuropsychiques</w:t>
      </w:r>
      <w:r>
        <w:t xml:space="preserve"> tels qu’une anxiété aiguë, un syndrome dépressif, une agitation, une confusion mentale, des tendances suicidaires ou même des troubles mineurs tels qu’une tristesse inexpliquée, des céphalées, des vertiges ou des troubles du sommeil, doit conduire à l’interruption immédiate de cette prophylaxie.</w:t>
      </w:r>
    </w:p>
    <w:p w:rsidR="000563A0" w:rsidRDefault="00836A4E" w:rsidP="004C7DD3">
      <w:pPr>
        <w:jc w:val="both"/>
      </w:pPr>
      <w:r>
        <w:t xml:space="preserve"> La prise de méfloquine doit être poursuivie pendant 3 semaines après la sortie de la zone impaludée.</w:t>
      </w:r>
    </w:p>
    <w:p w:rsidR="00836A4E" w:rsidRPr="002B1B05" w:rsidRDefault="00251C50" w:rsidP="004C7DD3">
      <w:pPr>
        <w:pStyle w:val="Paragraphedeliste"/>
        <w:numPr>
          <w:ilvl w:val="0"/>
          <w:numId w:val="1"/>
        </w:numPr>
        <w:jc w:val="both"/>
      </w:pPr>
      <w:r w:rsidRPr="002B1B05">
        <w:t>Le</w:t>
      </w:r>
      <w:r w:rsidR="00836A4E" w:rsidRPr="002B1B05">
        <w:t xml:space="preserve"> monohydrate ou l’hyclate de Doxycycline :</w:t>
      </w:r>
    </w:p>
    <w:p w:rsidR="00836A4E" w:rsidRDefault="00836A4E" w:rsidP="004C7DD3">
      <w:pPr>
        <w:jc w:val="both"/>
      </w:pPr>
      <w:r>
        <w:t>100 mg/jour chez les sujets de plus de 40 kg, 50 mg/j pour les sujets de poids &lt; 40 kg.</w:t>
      </w:r>
    </w:p>
    <w:p w:rsidR="00836A4E" w:rsidRDefault="00836A4E" w:rsidP="004C7DD3">
      <w:pPr>
        <w:pStyle w:val="Paragraphedeliste"/>
        <w:numPr>
          <w:ilvl w:val="0"/>
          <w:numId w:val="1"/>
        </w:numPr>
        <w:jc w:val="both"/>
      </w:pPr>
      <w:r>
        <w:t>La doxycycline est contre-indiquée avant l’âge de 8 ans, déconseillée pendant le premier trimestre de la grossesse et contre-indiquée à partir du deuxième trimestre (elle expose l’enfant à naître au risque de coloration des dents de lait). Elle peut entraîner une photodermatose par phototoxicité. Pour limiter ce risque, on conseille la prise le soir au cours du repas, au moins 1 h avant le coucher.</w:t>
      </w:r>
    </w:p>
    <w:p w:rsidR="00836A4E" w:rsidRDefault="00836A4E" w:rsidP="004C7DD3">
      <w:pPr>
        <w:jc w:val="both"/>
      </w:pPr>
      <w:r>
        <w:t>La prise est à débuter le jour de l’arrivée dans la zone à risque, et à poursuivre 4 semaines après avoir quitté la zone impaludée.</w:t>
      </w:r>
    </w:p>
    <w:p w:rsidR="00836A4E" w:rsidRDefault="00836A4E" w:rsidP="004C7DD3">
      <w:pPr>
        <w:jc w:val="both"/>
      </w:pPr>
      <w:r>
        <w:t>Pour savoir s’il existe un risque de paludisme dans le pays où vous vous rendez et dans quel groupe il est classé, consultez notre carte du monde.</w:t>
      </w:r>
    </w:p>
    <w:p w:rsidR="00251C50" w:rsidRPr="00280E30" w:rsidRDefault="00251C50" w:rsidP="004C7DD3">
      <w:pPr>
        <w:jc w:val="both"/>
        <w:rPr>
          <w:sz w:val="20"/>
        </w:rPr>
      </w:pPr>
      <w:r>
        <w:t xml:space="preserve">D’après </w:t>
      </w:r>
      <w:hyperlink r:id="rId17" w:history="1">
        <w:r w:rsidRPr="00280E30">
          <w:rPr>
            <w:rStyle w:val="Lienhypertexte"/>
            <w:sz w:val="20"/>
          </w:rPr>
          <w:t>https://www.pasteur.fr/fr/centre-medical/vaccination/recommandations-generales</w:t>
        </w:r>
      </w:hyperlink>
    </w:p>
    <w:p w:rsidR="00F4761F" w:rsidRDefault="00F4761F" w:rsidP="004C7DD3">
      <w:pPr>
        <w:jc w:val="both"/>
        <w:rPr>
          <w:b/>
          <w:u w:val="single"/>
        </w:rPr>
      </w:pPr>
    </w:p>
    <w:p w:rsidR="00F4761F" w:rsidRDefault="00F4761F" w:rsidP="004C7DD3">
      <w:pPr>
        <w:jc w:val="both"/>
        <w:rPr>
          <w:b/>
          <w:u w:val="single"/>
        </w:rPr>
      </w:pPr>
    </w:p>
    <w:p w:rsidR="00836A4E" w:rsidRPr="002B1B05" w:rsidRDefault="00836A4E" w:rsidP="004C7DD3">
      <w:pPr>
        <w:jc w:val="both"/>
        <w:rPr>
          <w:b/>
          <w:u w:val="single"/>
        </w:rPr>
      </w:pPr>
      <w:r w:rsidRPr="002B1B05">
        <w:rPr>
          <w:b/>
          <w:u w:val="single"/>
        </w:rPr>
        <w:lastRenderedPageBreak/>
        <w:t>Traitement</w:t>
      </w:r>
      <w:r w:rsidR="00280E30">
        <w:rPr>
          <w:b/>
          <w:u w:val="single"/>
        </w:rPr>
        <w:t xml:space="preserve"> </w:t>
      </w:r>
      <w:r w:rsidRPr="002B1B05">
        <w:rPr>
          <w:b/>
          <w:u w:val="single"/>
        </w:rPr>
        <w:t>curatif</w:t>
      </w:r>
    </w:p>
    <w:p w:rsidR="00836A4E" w:rsidRDefault="00836A4E" w:rsidP="004C7DD3">
      <w:pPr>
        <w:jc w:val="both"/>
        <w:rPr>
          <w:u w:val="single"/>
        </w:rPr>
      </w:pPr>
      <w:r w:rsidRPr="009241A5">
        <w:t>Un diagnostic précoce et un traitement rapide sont d’une importance vitale. Le paludisme peut évoluer dès 24 h après l’apparition des premiers symptômes vers des formes graves dont l’issue peut être fatale</w:t>
      </w:r>
      <w:r w:rsidR="00280E30">
        <w:t>.</w:t>
      </w:r>
    </w:p>
    <w:p w:rsidR="00836A4E" w:rsidRDefault="00836A4E" w:rsidP="004C7DD3">
      <w:pPr>
        <w:jc w:val="both"/>
        <w:rPr>
          <w:i/>
          <w:iCs/>
        </w:rPr>
      </w:pPr>
      <w:r w:rsidRPr="009241A5">
        <w:t>Entre 2010 et 2017, les pays ont acheté 2,74 milliards de traitements par combinaison thérapeutique à base d’artémisinine (ACT).</w:t>
      </w:r>
      <w:r>
        <w:t xml:space="preserve"> Cette molécule est extraite d’une plante, l’</w:t>
      </w:r>
      <w:proofErr w:type="spellStart"/>
      <w:r w:rsidRPr="00836A4E">
        <w:rPr>
          <w:i/>
        </w:rPr>
        <w:t>A</w:t>
      </w:r>
      <w:r>
        <w:rPr>
          <w:i/>
          <w:iCs/>
        </w:rPr>
        <w:t>rtemisia</w:t>
      </w:r>
      <w:proofErr w:type="spellEnd"/>
      <w:r>
        <w:rPr>
          <w:i/>
          <w:iCs/>
        </w:rPr>
        <w:t xml:space="preserve"> </w:t>
      </w:r>
      <w:proofErr w:type="spellStart"/>
      <w:r>
        <w:rPr>
          <w:i/>
          <w:iCs/>
        </w:rPr>
        <w:t>annua</w:t>
      </w:r>
      <w:proofErr w:type="spellEnd"/>
      <w:r>
        <w:rPr>
          <w:i/>
          <w:iCs/>
        </w:rPr>
        <w:t xml:space="preserve"> </w:t>
      </w:r>
      <w:r w:rsidRPr="00280E30">
        <w:rPr>
          <w:iCs/>
        </w:rPr>
        <w:t>(</w:t>
      </w:r>
      <w:r w:rsidR="00251C50" w:rsidRPr="00280E30">
        <w:rPr>
          <w:iCs/>
        </w:rPr>
        <w:t>P</w:t>
      </w:r>
      <w:r w:rsidR="00251C50" w:rsidRPr="00836A4E">
        <w:rPr>
          <w:iCs/>
        </w:rPr>
        <w:t>rix</w:t>
      </w:r>
      <w:r w:rsidR="00251C50">
        <w:rPr>
          <w:iCs/>
        </w:rPr>
        <w:t xml:space="preserve"> Nobel de médecine</w:t>
      </w:r>
      <w:r w:rsidR="00280E30">
        <w:rPr>
          <w:iCs/>
        </w:rPr>
        <w:t xml:space="preserve"> 2015 remis à </w:t>
      </w:r>
      <w:r w:rsidRPr="00836A4E">
        <w:rPr>
          <w:iCs/>
        </w:rPr>
        <w:t>Tu Youyou</w:t>
      </w:r>
      <w:r>
        <w:rPr>
          <w:iCs/>
        </w:rPr>
        <w:t>)</w:t>
      </w:r>
      <w:r w:rsidRPr="00836A4E">
        <w:rPr>
          <w:i/>
          <w:iCs/>
        </w:rPr>
        <w:t>.</w:t>
      </w:r>
    </w:p>
    <w:p w:rsidR="00836A4E" w:rsidRPr="00836A4E" w:rsidRDefault="00836A4E" w:rsidP="004C7DD3">
      <w:pPr>
        <w:jc w:val="both"/>
        <w:rPr>
          <w:i/>
          <w:iCs/>
        </w:rPr>
      </w:pPr>
      <w:r w:rsidRPr="00836A4E">
        <w:rPr>
          <w:iCs/>
        </w:rPr>
        <w:t>L</w:t>
      </w:r>
      <w:r>
        <w:t>a chloroquine ou une combinaison avec l'artémisinine tue le parasite circulant, puis une cure de 15 jours de primaquine tue les hypnozoïtes</w:t>
      </w:r>
      <w:r w:rsidR="00F06B19">
        <w:t>, formes dormantes du parasite dans le foie</w:t>
      </w:r>
      <w:r>
        <w:t>.</w:t>
      </w:r>
    </w:p>
    <w:p w:rsidR="00836A4E" w:rsidRDefault="00836A4E" w:rsidP="004C7DD3">
      <w:pPr>
        <w:jc w:val="both"/>
      </w:pPr>
      <w:r>
        <w:t>Le tafénoquine, en prise unique, pourrait constituer une alternative.</w:t>
      </w:r>
    </w:p>
    <w:p w:rsidR="00836A4E" w:rsidRDefault="00836A4E" w:rsidP="004C7DD3">
      <w:pPr>
        <w:jc w:val="both"/>
      </w:pPr>
    </w:p>
    <w:p w:rsidR="00836A4E" w:rsidRDefault="00CD78C5" w:rsidP="004C7DD3">
      <w:pPr>
        <w:jc w:val="both"/>
        <w:rPr>
          <w:color w:val="FF0000"/>
        </w:rPr>
      </w:pPr>
      <w:hyperlink r:id="rId18" w:history="1">
        <w:r w:rsidR="00D10185" w:rsidRPr="00B54283">
          <w:rPr>
            <w:rStyle w:val="Lienhypertexte"/>
          </w:rPr>
          <w:t>https://culturesciences.c</w:t>
        </w:r>
        <w:r w:rsidR="00D10185" w:rsidRPr="00B54283">
          <w:rPr>
            <w:rStyle w:val="Lienhypertexte"/>
          </w:rPr>
          <w:t>h</w:t>
        </w:r>
        <w:r w:rsidR="00D10185" w:rsidRPr="00B54283">
          <w:rPr>
            <w:rStyle w:val="Lienhypertexte"/>
          </w:rPr>
          <w:t>imie.ens.fr/thematiques/chimie-organique/chimie-pharmaceutique/le-fer-de-l-heme-cible-pour-la-chimiotherapie-du</w:t>
        </w:r>
      </w:hyperlink>
    </w:p>
    <w:p w:rsidR="00D10185" w:rsidRPr="00D10185" w:rsidRDefault="00D10185" w:rsidP="004C7DD3">
      <w:pPr>
        <w:jc w:val="both"/>
        <w:rPr>
          <w:color w:val="FF0000"/>
        </w:rPr>
      </w:pPr>
    </w:p>
    <w:p w:rsidR="00836A4E" w:rsidRDefault="00836A4E" w:rsidP="004C7DD3">
      <w:pPr>
        <w:jc w:val="both"/>
      </w:pPr>
    </w:p>
    <w:p w:rsidR="008C6A98" w:rsidRDefault="008C6A98" w:rsidP="004C7DD3">
      <w:pPr>
        <w:jc w:val="both"/>
      </w:pPr>
    </w:p>
    <w:p w:rsidR="008C6A98" w:rsidRDefault="008C6A98" w:rsidP="004C7DD3">
      <w:pPr>
        <w:jc w:val="both"/>
      </w:pPr>
    </w:p>
    <w:p w:rsidR="008C6A98" w:rsidRDefault="008C6A98" w:rsidP="004C7DD3">
      <w:pPr>
        <w:jc w:val="both"/>
      </w:pPr>
    </w:p>
    <w:p w:rsidR="00836A4E" w:rsidRDefault="00836A4E" w:rsidP="004C7DD3">
      <w:pPr>
        <w:jc w:val="both"/>
      </w:pPr>
    </w:p>
    <w:p w:rsidR="00280E30" w:rsidRPr="008C5143" w:rsidRDefault="00280E30" w:rsidP="00280E30">
      <w:pPr>
        <w:jc w:val="both"/>
        <w:rPr>
          <w:rFonts w:ascii="Calibri" w:hAnsi="Calibri"/>
          <w:b/>
        </w:rPr>
      </w:pPr>
      <w:r w:rsidRPr="008C5143">
        <w:rPr>
          <w:rFonts w:ascii="Calibri" w:hAnsi="Calibri"/>
          <w:b/>
        </w:rPr>
        <w:t xml:space="preserve">Exemple de site ressource pour les recherches internet : </w:t>
      </w:r>
    </w:p>
    <w:p w:rsidR="00836A4E" w:rsidRPr="00280E30" w:rsidRDefault="00CD78C5" w:rsidP="004C7DD3">
      <w:pPr>
        <w:jc w:val="both"/>
        <w:rPr>
          <w:sz w:val="20"/>
        </w:rPr>
      </w:pPr>
      <w:hyperlink r:id="rId19" w:history="1">
        <w:r w:rsidR="009765CC" w:rsidRPr="00280E30">
          <w:rPr>
            <w:rStyle w:val="Lienhypertexte"/>
            <w:sz w:val="20"/>
          </w:rPr>
          <w:t>https://www.who.int/malaria/areas/treatment/overview/fr/</w:t>
        </w:r>
      </w:hyperlink>
    </w:p>
    <w:p w:rsidR="009765CC" w:rsidRPr="00280E30" w:rsidRDefault="00CD78C5" w:rsidP="004C7DD3">
      <w:pPr>
        <w:jc w:val="both"/>
        <w:rPr>
          <w:sz w:val="20"/>
        </w:rPr>
      </w:pPr>
      <w:hyperlink r:id="rId20" w:history="1">
        <w:r w:rsidR="009765CC" w:rsidRPr="00280E30">
          <w:rPr>
            <w:rStyle w:val="Lienhypertexte"/>
            <w:sz w:val="20"/>
          </w:rPr>
          <w:t>http://www.academie-medecine.fr/wp-content/uploads/2018/03/P.-477-%C3%A0-490.pdf</w:t>
        </w:r>
      </w:hyperlink>
    </w:p>
    <w:p w:rsidR="005D5574" w:rsidRDefault="005D5574" w:rsidP="004C7DD3">
      <w:pPr>
        <w:jc w:val="both"/>
      </w:pPr>
    </w:p>
    <w:sectPr w:rsidR="005D5574" w:rsidSect="002E772B">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B6760"/>
    <w:multiLevelType w:val="hybridMultilevel"/>
    <w:tmpl w:val="52FAA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F544DD"/>
    <w:multiLevelType w:val="hybridMultilevel"/>
    <w:tmpl w:val="C24ECADC"/>
    <w:lvl w:ilvl="0" w:tplc="981011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574"/>
    <w:rsid w:val="000563A0"/>
    <w:rsid w:val="000E3787"/>
    <w:rsid w:val="001D2C3D"/>
    <w:rsid w:val="00251C50"/>
    <w:rsid w:val="00280E30"/>
    <w:rsid w:val="002E772B"/>
    <w:rsid w:val="004C7DD3"/>
    <w:rsid w:val="004D6746"/>
    <w:rsid w:val="005D5574"/>
    <w:rsid w:val="006C359D"/>
    <w:rsid w:val="0070591A"/>
    <w:rsid w:val="00836A4E"/>
    <w:rsid w:val="008B5B13"/>
    <w:rsid w:val="008C6A98"/>
    <w:rsid w:val="008C6FD9"/>
    <w:rsid w:val="009614F0"/>
    <w:rsid w:val="00971DB0"/>
    <w:rsid w:val="009765CC"/>
    <w:rsid w:val="009A2CE3"/>
    <w:rsid w:val="00A57665"/>
    <w:rsid w:val="00C0343E"/>
    <w:rsid w:val="00C91B67"/>
    <w:rsid w:val="00CD78C5"/>
    <w:rsid w:val="00D10185"/>
    <w:rsid w:val="00F06B19"/>
    <w:rsid w:val="00F4761F"/>
    <w:rsid w:val="00F703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43F5"/>
  <w15:chartTrackingRefBased/>
  <w15:docId w15:val="{E68596B0-5A2B-4737-8F71-0162BCFAC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5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D5574"/>
    <w:rPr>
      <w:color w:val="0563C1" w:themeColor="hyperlink"/>
      <w:u w:val="single"/>
    </w:rPr>
  </w:style>
  <w:style w:type="character" w:customStyle="1" w:styleId="e24kjd">
    <w:name w:val="e24kjd"/>
    <w:basedOn w:val="Policepardfaut"/>
    <w:rsid w:val="005D5574"/>
  </w:style>
  <w:style w:type="paragraph" w:styleId="Paragraphedeliste">
    <w:name w:val="List Paragraph"/>
    <w:basedOn w:val="Normal"/>
    <w:uiPriority w:val="34"/>
    <w:qFormat/>
    <w:rsid w:val="00836A4E"/>
    <w:pPr>
      <w:ind w:left="720"/>
      <w:contextualSpacing/>
    </w:pPr>
  </w:style>
  <w:style w:type="character" w:customStyle="1" w:styleId="hgkelc">
    <w:name w:val="hgkelc"/>
    <w:basedOn w:val="Policepardfaut"/>
    <w:rsid w:val="00F4761F"/>
  </w:style>
  <w:style w:type="character" w:styleId="Lienhypertextesuivivisit">
    <w:name w:val="FollowedHyperlink"/>
    <w:basedOn w:val="Policepardfaut"/>
    <w:uiPriority w:val="99"/>
    <w:semiHidden/>
    <w:unhideWhenUsed/>
    <w:rsid w:val="00CD7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wikiwand.com/en/Hemozoin" TargetMode="External"/><Relationship Id="rId18" Type="http://schemas.openxmlformats.org/officeDocument/2006/relationships/hyperlink" Target="https://culturesciences.chimie.ens.fr/thematiques/chimie-organique/chimie-pharmaceutique/le-fer-de-l-heme-cible-pour-la-chimiotherapi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wikiwand.com/en/Hemozoin" TargetMode="External"/><Relationship Id="rId17" Type="http://schemas.openxmlformats.org/officeDocument/2006/relationships/hyperlink" Target="https://www.pasteur.fr/fr/centre-medical/vaccination/recommandations-generale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academie-medecine.fr/wp-content/uploads/2018/03/P.-477-%C3%A0-490.pdf" TargetMode="External"/><Relationship Id="rId1" Type="http://schemas.openxmlformats.org/officeDocument/2006/relationships/numbering" Target="numbering.xml"/><Relationship Id="rId6" Type="http://schemas.openxmlformats.org/officeDocument/2006/relationships/hyperlink" Target="https://www.who.int/malaria/media/world-malaria-report-2018/fr/"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s://www.who.int/malaria/areas/treatment/overview/f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5</Pages>
  <Words>999</Words>
  <Characters>5497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2019-10-22T09:32:00Z</dcterms:created>
  <dcterms:modified xsi:type="dcterms:W3CDTF">2021-10-06T16:32:00Z</dcterms:modified>
</cp:coreProperties>
</file>