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38" w:rsidRPr="000C471E" w:rsidRDefault="00987138" w:rsidP="00E46CFA">
      <w:pPr>
        <w:rPr>
          <w:b/>
          <w:sz w:val="32"/>
          <w:szCs w:val="32"/>
        </w:rPr>
      </w:pPr>
      <w:r w:rsidRPr="000C471E">
        <w:rPr>
          <w:b/>
          <w:sz w:val="32"/>
          <w:szCs w:val="32"/>
        </w:rPr>
        <w:t>Activité 3 : réalisation de tests immunologiques</w:t>
      </w:r>
    </w:p>
    <w:p w:rsidR="00E46CFA" w:rsidRDefault="006F0C61" w:rsidP="00E46CFA">
      <w:pPr>
        <w:rPr>
          <w:b/>
          <w:sz w:val="32"/>
          <w:szCs w:val="32"/>
        </w:rPr>
      </w:pPr>
      <w:r w:rsidRPr="000C471E">
        <w:rPr>
          <w:b/>
          <w:sz w:val="32"/>
          <w:szCs w:val="32"/>
        </w:rPr>
        <w:t>Symptômes</w:t>
      </w:r>
      <w:r w:rsidR="00E46CFA" w:rsidRPr="000C471E">
        <w:rPr>
          <w:b/>
          <w:sz w:val="32"/>
          <w:szCs w:val="32"/>
        </w:rPr>
        <w:t xml:space="preserve"> et </w:t>
      </w:r>
      <w:r w:rsidRPr="000C471E">
        <w:rPr>
          <w:b/>
          <w:sz w:val="32"/>
          <w:szCs w:val="32"/>
        </w:rPr>
        <w:t>dépistage</w:t>
      </w:r>
      <w:r w:rsidR="000C471E">
        <w:rPr>
          <w:b/>
          <w:sz w:val="32"/>
          <w:szCs w:val="32"/>
        </w:rPr>
        <w:t> </w:t>
      </w:r>
    </w:p>
    <w:p w:rsidR="000C471E" w:rsidRPr="000C471E" w:rsidRDefault="000C471E" w:rsidP="00E46CFA">
      <w:pPr>
        <w:rPr>
          <w:b/>
          <w:sz w:val="32"/>
          <w:szCs w:val="32"/>
        </w:rPr>
      </w:pPr>
    </w:p>
    <w:p w:rsidR="00E46CFA" w:rsidRDefault="00101B27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 retour en France après un voyage au Burkina Faso, Monsieur P se sent très fatigué, a une fièvre élevée et des maux de tête. </w:t>
      </w:r>
    </w:p>
    <w:p w:rsidR="00E46CFA" w:rsidRDefault="00101B27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Vous devez déterminer s’il a été ou non contaminé par le plasmodium. Comment procédez-vous ?</w:t>
      </w:r>
    </w:p>
    <w:p w:rsidR="000C471E" w:rsidRDefault="000C471E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471E" w:rsidRDefault="000C471E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471E" w:rsidRDefault="000C471E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01B27" w:rsidRDefault="000C471E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Activité pratique : </w:t>
      </w:r>
      <w:r w:rsidR="003722C7">
        <w:rPr>
          <w:b/>
        </w:rPr>
        <w:t>Pratiquez le test (ici un test de grossesse qui utilise le même principe)</w:t>
      </w:r>
    </w:p>
    <w:p w:rsidR="000C471E" w:rsidRDefault="000C471E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C471E" w:rsidRDefault="000C471E" w:rsidP="000C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Déterminez les résultats des tests pratiqués chez différents patients (doc )</w:t>
      </w: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0C471E" w:rsidRDefault="000C471E" w:rsidP="00E46CFA">
      <w:pPr>
        <w:rPr>
          <w:b/>
        </w:rPr>
      </w:pPr>
    </w:p>
    <w:p w:rsidR="006F0C61" w:rsidRDefault="006F0C61" w:rsidP="00E46CFA">
      <w:pPr>
        <w:rPr>
          <w:b/>
        </w:rPr>
      </w:pPr>
      <w:r>
        <w:rPr>
          <w:b/>
        </w:rPr>
        <w:lastRenderedPageBreak/>
        <w:t xml:space="preserve">Documents : </w:t>
      </w:r>
    </w:p>
    <w:p w:rsidR="00E46CFA" w:rsidRPr="00FF098D" w:rsidRDefault="000C471E" w:rsidP="0037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Doc1 </w:t>
      </w:r>
      <w:r w:rsidR="00E46CFA" w:rsidRPr="00FF098D">
        <w:rPr>
          <w:b/>
        </w:rPr>
        <w:t>Les symptômes </w:t>
      </w:r>
      <w:r w:rsidR="00E46CFA">
        <w:rPr>
          <w:b/>
        </w:rPr>
        <w:t xml:space="preserve">du paludisme </w:t>
      </w:r>
      <w:r w:rsidR="00E46CFA" w:rsidRPr="00FF098D">
        <w:rPr>
          <w:b/>
        </w:rPr>
        <w:t xml:space="preserve">: </w:t>
      </w:r>
      <w:r w:rsidR="00E46CFA" w:rsidRPr="00FF098D">
        <w:t>7 à 20 jours après la piqûre, une fièvre accompagnée de céphalées et de nausée</w:t>
      </w:r>
      <w:r w:rsidR="00E46CFA">
        <w:t>s</w:t>
      </w:r>
      <w:r w:rsidR="00E46CFA" w:rsidRPr="00FF098D">
        <w:t xml:space="preserve"> apparait</w:t>
      </w:r>
      <w:r w:rsidR="00E46CFA">
        <w:t xml:space="preserve"> ainsi qu’une faiblesse générale</w:t>
      </w:r>
      <w:r w:rsidR="00E46CFA" w:rsidRPr="00FF098D">
        <w:t xml:space="preserve">. </w:t>
      </w:r>
    </w:p>
    <w:p w:rsidR="00E46CFA" w:rsidRDefault="006F0C61" w:rsidP="0037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Sans traitement rapide et approprié</w:t>
      </w:r>
      <w:r w:rsidR="00E46CFA" w:rsidRPr="00FF098D">
        <w:t xml:space="preserve">, </w:t>
      </w:r>
      <w:r w:rsidR="00E46CFA">
        <w:t>le diagnostic vital est engagé dans le cas des parasites falciparum et vivax.</w:t>
      </w:r>
    </w:p>
    <w:p w:rsidR="00E46CFA" w:rsidRPr="00ED02E7" w:rsidRDefault="00E46CFA" w:rsidP="0037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bébés, enfants et personnes à immunité réduite, personnes souffrants de malnutrition ont plus de risques de mourir du paludisme.</w:t>
      </w:r>
    </w:p>
    <w:p w:rsidR="00E46CFA" w:rsidRPr="00DF4D42" w:rsidRDefault="000C471E" w:rsidP="00E46C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 2 </w:t>
      </w:r>
      <w:r w:rsidR="00E46CFA" w:rsidRPr="00DF4D42">
        <w:rPr>
          <w:b/>
          <w:sz w:val="32"/>
          <w:szCs w:val="32"/>
        </w:rPr>
        <w:t xml:space="preserve">Les tests de dépistages d’urgence : </w:t>
      </w:r>
    </w:p>
    <w:p w:rsidR="00E46CFA" w:rsidRPr="00FF098D" w:rsidRDefault="00E46CFA" w:rsidP="00E46CFA">
      <w:pPr>
        <w:rPr>
          <w:b/>
        </w:rPr>
      </w:pPr>
      <w:r w:rsidRPr="00FF098D">
        <w:rPr>
          <w:b/>
        </w:rPr>
        <w:t>Comment savoir</w:t>
      </w:r>
      <w:r>
        <w:rPr>
          <w:b/>
        </w:rPr>
        <w:t>, en cas de fièvre,</w:t>
      </w:r>
      <w:r w:rsidR="006F0C61">
        <w:rPr>
          <w:b/>
        </w:rPr>
        <w:t xml:space="preserve"> si le sujet</w:t>
      </w:r>
      <w:r w:rsidRPr="00FF098D">
        <w:rPr>
          <w:b/>
        </w:rPr>
        <w:t xml:space="preserve"> est contaminé et par quel plasmodium ?</w:t>
      </w:r>
    </w:p>
    <w:p w:rsidR="00E46CFA" w:rsidRDefault="00E46CFA" w:rsidP="00E46CFA">
      <w:r w:rsidRPr="00101B27">
        <w:rPr>
          <w:u w:val="single"/>
        </w:rPr>
        <w:t>Le test sanguin</w:t>
      </w:r>
      <w:r>
        <w:t xml:space="preserve"> : Une goutte de sang est observée au microscope après coloration. Voir images </w:t>
      </w:r>
      <w:r w:rsidR="00101B27">
        <w:t>dans la fiche 1</w:t>
      </w:r>
      <w:r>
        <w:t xml:space="preserve">. Chaque plasmodium </w:t>
      </w:r>
      <w:r w:rsidR="00101B27">
        <w:t xml:space="preserve">présente différents </w:t>
      </w:r>
      <w:r>
        <w:t xml:space="preserve">aspects spécifiques qui permettent de le distinguer des autres espèces. </w:t>
      </w:r>
    </w:p>
    <w:p w:rsidR="00E46CFA" w:rsidRDefault="00101B27" w:rsidP="00E46CFA">
      <w:pPr>
        <w:rPr>
          <w:u w:val="single"/>
        </w:rPr>
      </w:pPr>
      <w:r w:rsidRPr="00101B27">
        <w:rPr>
          <w:u w:val="single"/>
        </w:rPr>
        <w:t xml:space="preserve">Le test de dépistage rapide : </w:t>
      </w:r>
    </w:p>
    <w:p w:rsidR="0043683A" w:rsidRDefault="0043683A" w:rsidP="00E46CFA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750</wp:posOffset>
            </wp:positionH>
            <wp:positionV relativeFrom="paragraph">
              <wp:posOffset>58</wp:posOffset>
            </wp:positionV>
            <wp:extent cx="990600" cy="33909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3A" w:rsidRPr="0043683A" w:rsidRDefault="0043683A" w:rsidP="00E46CFA">
      <w:r w:rsidRPr="0043683A">
        <w:rPr>
          <w:b/>
        </w:rPr>
        <w:t>Présentation</w:t>
      </w:r>
      <w:r>
        <w:t xml:space="preserve"> : </w:t>
      </w:r>
      <w:r w:rsidRPr="0043683A">
        <w:t xml:space="preserve">Il se présente dans une cassette comportant une zone de dépôt </w:t>
      </w:r>
      <w:r>
        <w:t>d’une goutte de</w:t>
      </w:r>
      <w:r w:rsidRPr="0043683A">
        <w:t xml:space="preserve"> sang à tester</w:t>
      </w:r>
      <w:r>
        <w:t xml:space="preserve"> (puits rond 1)</w:t>
      </w:r>
      <w:r w:rsidRPr="0043683A">
        <w:t>, et une zone de dépôt d</w:t>
      </w:r>
      <w:r>
        <w:t>’</w:t>
      </w:r>
      <w:r w:rsidRPr="0043683A">
        <w:t>u</w:t>
      </w:r>
      <w:r>
        <w:t>ne goutte de</w:t>
      </w:r>
      <w:r w:rsidRPr="0043683A">
        <w:t xml:space="preserve"> tampon</w:t>
      </w:r>
      <w:r>
        <w:t xml:space="preserve"> (puits carré 2). Le rectangle est la zone de lecture du test. Le sang dilué par le </w:t>
      </w:r>
      <w:r w:rsidR="00E22CE4">
        <w:t>tampon</w:t>
      </w:r>
      <w:r>
        <w:t xml:space="preserve"> migre à travers la zone rectangulaire.</w:t>
      </w:r>
    </w:p>
    <w:p w:rsidR="0043683A" w:rsidRDefault="0043683A" w:rsidP="00E46CFA"/>
    <w:p w:rsidR="00467E5A" w:rsidRDefault="00467E5A" w:rsidP="00E46CFA">
      <w:r w:rsidRPr="0043683A">
        <w:rPr>
          <w:b/>
        </w:rPr>
        <w:t>Le principe du test</w:t>
      </w:r>
      <w:r w:rsidRPr="006F0C61">
        <w:t> :</w:t>
      </w:r>
      <w:r w:rsidR="006F0C61">
        <w:t xml:space="preserve"> </w:t>
      </w:r>
      <w:r w:rsidRPr="00467E5A">
        <w:t xml:space="preserve">le sang de l’individu contaminé </w:t>
      </w:r>
      <w:r w:rsidR="00E64CF0">
        <w:t>contient des antigènes du plasmodium</w:t>
      </w:r>
      <w:r w:rsidR="005272E9">
        <w:t xml:space="preserve"> falciparum</w:t>
      </w:r>
      <w:r w:rsidR="00E64CF0">
        <w:t xml:space="preserve">. Ces antigènes sont des molécules </w:t>
      </w:r>
      <w:r w:rsidR="005272E9">
        <w:t xml:space="preserve">caractéristiques de cette espèce de </w:t>
      </w:r>
      <w:r w:rsidR="006F0C61">
        <w:t>plasmodium</w:t>
      </w:r>
      <w:r w:rsidR="00E64CF0">
        <w:t xml:space="preserve">. On obtient </w:t>
      </w:r>
      <w:r w:rsidR="005272E9">
        <w:t xml:space="preserve">par des expériences </w:t>
      </w:r>
      <w:r w:rsidR="005272E9">
        <w:t xml:space="preserve">en laboratoire </w:t>
      </w:r>
      <w:r w:rsidR="00E64CF0">
        <w:t>des anticorps dirigés spécifiquement contre ces antigènes et on leur fixe</w:t>
      </w:r>
      <w:r w:rsidR="005272E9">
        <w:t>,</w:t>
      </w:r>
      <w:r w:rsidR="00E64CF0">
        <w:t xml:space="preserve"> pour les repérer</w:t>
      </w:r>
      <w:r w:rsidR="005272E9">
        <w:t>,</w:t>
      </w:r>
      <w:r w:rsidR="00E64CF0">
        <w:t xml:space="preserve"> une molécule d’or </w:t>
      </w:r>
      <w:r w:rsidR="006F0C61">
        <w:t>colloïdal</w:t>
      </w:r>
      <w:r w:rsidR="00E64CF0">
        <w:t xml:space="preserve"> de couleur rouge. D’autre part, on </w:t>
      </w:r>
      <w:r w:rsidR="006F0C61">
        <w:t>dispose d’</w:t>
      </w:r>
      <w:r w:rsidR="00E64CF0">
        <w:t>anticorps anti anticorps</w:t>
      </w:r>
      <w:r w:rsidR="005272E9">
        <w:t xml:space="preserve"> qui reconnaissent toute sorte d’anticorps</w:t>
      </w:r>
      <w:r w:rsidR="00E64CF0">
        <w:t>.</w:t>
      </w:r>
    </w:p>
    <w:p w:rsidR="00E64CF0" w:rsidRDefault="00E64CF0" w:rsidP="00E46CFA"/>
    <w:p w:rsidR="0043683A" w:rsidRDefault="0043683A" w:rsidP="00E46CFA"/>
    <w:p w:rsidR="0043683A" w:rsidRDefault="0043683A" w:rsidP="00E46CFA"/>
    <w:p w:rsidR="0043683A" w:rsidRDefault="0043683A" w:rsidP="00E46CFA"/>
    <w:p w:rsidR="0043683A" w:rsidRDefault="0043683A" w:rsidP="00E46CFA"/>
    <w:p w:rsidR="0043683A" w:rsidRDefault="0043683A" w:rsidP="00E46CFA"/>
    <w:p w:rsidR="000C471E" w:rsidRDefault="000C471E" w:rsidP="00E46CFA"/>
    <w:p w:rsidR="000C471E" w:rsidRDefault="000C471E" w:rsidP="00E46CFA"/>
    <w:p w:rsidR="000C471E" w:rsidRDefault="000C471E" w:rsidP="00E46CFA"/>
    <w:p w:rsidR="000C471E" w:rsidRDefault="000C471E" w:rsidP="00E46CFA"/>
    <w:p w:rsidR="000C471E" w:rsidRDefault="000C471E" w:rsidP="00E46CFA"/>
    <w:p w:rsidR="0043683A" w:rsidRDefault="0043683A" w:rsidP="00E46CFA"/>
    <w:p w:rsidR="00206ECC" w:rsidRDefault="00206ECC" w:rsidP="00E46CFA"/>
    <w:p w:rsidR="00206ECC" w:rsidRPr="00206ECC" w:rsidRDefault="00206ECC" w:rsidP="00206ECC">
      <w:pPr>
        <w:rPr>
          <w:b/>
        </w:rPr>
      </w:pPr>
      <w:r w:rsidRPr="00206ECC">
        <w:rPr>
          <w:b/>
        </w:rPr>
        <w:t>Doc</w:t>
      </w:r>
      <w:r w:rsidRPr="00206ECC">
        <w:rPr>
          <w:b/>
        </w:rPr>
        <w:t xml:space="preserve"> 1 : principe du test de dépistage du </w:t>
      </w:r>
      <w:r w:rsidRPr="00206ECC">
        <w:rPr>
          <w:b/>
          <w:i/>
        </w:rPr>
        <w:t>plasmodium falciparum</w:t>
      </w:r>
      <w:r w:rsidRPr="00206ECC">
        <w:rPr>
          <w:b/>
        </w:rPr>
        <w:t xml:space="preserve"> </w:t>
      </w:r>
    </w:p>
    <w:p w:rsidR="00872C59" w:rsidRDefault="003D6220" w:rsidP="00E46CFA">
      <w:pPr>
        <w:rPr>
          <w:u w:val="single"/>
        </w:rPr>
      </w:pPr>
      <w:r w:rsidRPr="003D6220">
        <w:drawing>
          <wp:anchor distT="0" distB="0" distL="114300" distR="114300" simplePos="0" relativeHeight="251749376" behindDoc="0" locked="0" layoutInCell="1" allowOverlap="1" wp14:anchorId="768A90C4" wp14:editId="3CE09F23">
            <wp:simplePos x="0" y="0"/>
            <wp:positionH relativeFrom="column">
              <wp:posOffset>-511175</wp:posOffset>
            </wp:positionH>
            <wp:positionV relativeFrom="paragraph">
              <wp:posOffset>259715</wp:posOffset>
            </wp:positionV>
            <wp:extent cx="6709410" cy="3072928"/>
            <wp:effectExtent l="0" t="0" r="0" b="0"/>
            <wp:wrapSquare wrapText="bothSides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307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CC" w:rsidRPr="00206ECC">
        <w:rPr>
          <w:u w:val="single"/>
        </w:rPr>
        <w:t>Doc 1 a : Avant dépôt </w:t>
      </w:r>
    </w:p>
    <w:p w:rsidR="00ED02E7" w:rsidRDefault="00ED02E7" w:rsidP="003D6220">
      <w:pPr>
        <w:ind w:left="-993"/>
      </w:pPr>
    </w:p>
    <w:p w:rsidR="00ED02E7" w:rsidRPr="00206ECC" w:rsidRDefault="00206ECC" w:rsidP="00872C59">
      <w:pPr>
        <w:ind w:left="-851"/>
        <w:rPr>
          <w:u w:val="single"/>
        </w:rPr>
      </w:pPr>
      <w:r w:rsidRPr="00206ECC">
        <w:rPr>
          <w:u w:val="single"/>
        </w:rPr>
        <w:t>Doc 1 b : Après dépôt et migration d’une goutte de sang d’un patient infecté par le plasmodium</w:t>
      </w:r>
      <w:r w:rsidR="00872C59">
        <w:rPr>
          <w:u w:val="single"/>
        </w:rPr>
        <w:t xml:space="preserve"> falciparum</w:t>
      </w:r>
    </w:p>
    <w:p w:rsidR="00ED02E7" w:rsidRPr="000F7BAD" w:rsidRDefault="003D6220" w:rsidP="003D6220">
      <w:pPr>
        <w:ind w:left="-993"/>
      </w:pPr>
      <w:r w:rsidRPr="003D6220">
        <w:drawing>
          <wp:inline distT="0" distB="0" distL="0" distR="0" wp14:anchorId="2EAFFB2E" wp14:editId="5377B0A9">
            <wp:extent cx="7072828" cy="2150228"/>
            <wp:effectExtent l="0" t="0" r="0" b="254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1753" cy="21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6C3">
        <w:t>A</w:t>
      </w:r>
      <w:r w:rsidR="000F7BAD" w:rsidRPr="000F7BAD">
        <w:t xml:space="preserve"> : on dépose une goutte de </w:t>
      </w:r>
      <w:r w:rsidR="007F06C3" w:rsidRPr="000F7BAD">
        <w:t>sang</w:t>
      </w:r>
      <w:r w:rsidR="007F06C3">
        <w:t xml:space="preserve"> (</w:t>
      </w:r>
      <w:r w:rsidR="00872C59">
        <w:t xml:space="preserve">zone </w:t>
      </w:r>
      <w:r w:rsidR="007F06C3">
        <w:t>2)</w:t>
      </w:r>
      <w:r w:rsidR="000F7BAD" w:rsidRPr="000F7BAD">
        <w:t>, ici contaminée</w:t>
      </w:r>
      <w:r w:rsidR="00B26486">
        <w:t xml:space="preserve"> par le paludisme</w:t>
      </w:r>
      <w:r w:rsidR="007F06C3">
        <w:t xml:space="preserve"> (plasmodium falciparum)</w:t>
      </w:r>
      <w:r w:rsidR="00B26486">
        <w:t>, puis un</w:t>
      </w:r>
      <w:r w:rsidR="007F06C3">
        <w:t>e goutte de solvant (</w:t>
      </w:r>
      <w:r w:rsidR="00872C59">
        <w:t xml:space="preserve">zone </w:t>
      </w:r>
      <w:r w:rsidR="007F06C3">
        <w:t xml:space="preserve">1) </w:t>
      </w:r>
      <w:r w:rsidR="006F0C61">
        <w:t>facilitant s</w:t>
      </w:r>
      <w:r w:rsidR="00B26486">
        <w:t>a migration</w:t>
      </w:r>
    </w:p>
    <w:p w:rsidR="000F7BAD" w:rsidRPr="000F7BAD" w:rsidRDefault="007F06C3" w:rsidP="00E46CFA">
      <w:r>
        <w:t>B</w:t>
      </w:r>
      <w:r w:rsidR="006F0C61">
        <w:t>- les molécules du sang</w:t>
      </w:r>
      <w:r w:rsidR="000F7BAD" w:rsidRPr="000F7BAD">
        <w:t xml:space="preserve"> migre</w:t>
      </w:r>
      <w:r w:rsidR="006F0C61">
        <w:t>nt</w:t>
      </w:r>
      <w:r w:rsidR="000F7BAD" w:rsidRPr="000F7BAD">
        <w:t xml:space="preserve"> sur la bande et passe</w:t>
      </w:r>
      <w:r w:rsidR="006F0C61">
        <w:t>nt</w:t>
      </w:r>
      <w:r w:rsidR="000F7BAD" w:rsidRPr="000F7BAD">
        <w:t xml:space="preserve"> dans la zone contenant les anticorps </w:t>
      </w:r>
      <w:r w:rsidR="00E22CE4">
        <w:t xml:space="preserve">(Ac) </w:t>
      </w:r>
      <w:r w:rsidR="000F7BAD" w:rsidRPr="000F7BAD">
        <w:t>anti</w:t>
      </w:r>
      <w:r w:rsidR="000F7BAD">
        <w:t>-</w:t>
      </w:r>
      <w:r w:rsidR="000F7BAD" w:rsidRPr="000F7BAD">
        <w:t>p</w:t>
      </w:r>
      <w:r>
        <w:t>lasmodium</w:t>
      </w:r>
      <w:r w:rsidR="006F0C61">
        <w:t xml:space="preserve"> libres</w:t>
      </w:r>
      <w:r w:rsidR="0043683A">
        <w:t xml:space="preserve"> (</w:t>
      </w:r>
      <w:r w:rsidR="00872C59">
        <w:t xml:space="preserve">zone </w:t>
      </w:r>
      <w:r>
        <w:t>3</w:t>
      </w:r>
      <w:r w:rsidR="0043683A">
        <w:t>)</w:t>
      </w:r>
      <w:r w:rsidR="006F0C61">
        <w:t>. Si le sang contient des antigènes</w:t>
      </w:r>
      <w:r w:rsidR="00E22CE4">
        <w:t xml:space="preserve"> (Ag)</w:t>
      </w:r>
      <w:r w:rsidR="006F0C61">
        <w:t xml:space="preserve"> du p</w:t>
      </w:r>
      <w:r>
        <w:t>lasmodium</w:t>
      </w:r>
      <w:r w:rsidR="006F0C61">
        <w:t xml:space="preserve">, ils vont être reconnus </w:t>
      </w:r>
      <w:r w:rsidR="00E22CE4">
        <w:t>et fixés par les anticorps anti-</w:t>
      </w:r>
      <w:r w:rsidR="006F0C61">
        <w:t>p</w:t>
      </w:r>
      <w:r>
        <w:t xml:space="preserve">lasmodium </w:t>
      </w:r>
      <w:r w:rsidR="0043683A">
        <w:t>(complexe</w:t>
      </w:r>
      <w:r w:rsidR="000C471E">
        <w:t xml:space="preserve"> </w:t>
      </w:r>
      <w:r w:rsidR="0043683A">
        <w:t>Ac-Ag)</w:t>
      </w:r>
      <w:r w:rsidR="006F0C61">
        <w:t>.</w:t>
      </w:r>
    </w:p>
    <w:p w:rsidR="000F7BAD" w:rsidRPr="000F7BAD" w:rsidRDefault="007F06C3" w:rsidP="00E46CFA">
      <w:r>
        <w:t>C</w:t>
      </w:r>
      <w:r w:rsidR="000F7BAD" w:rsidRPr="000F7BAD">
        <w:t>- les anticorps</w:t>
      </w:r>
      <w:r w:rsidR="006F0C61">
        <w:t xml:space="preserve"> anti p</w:t>
      </w:r>
      <w:r>
        <w:t>lasmodium</w:t>
      </w:r>
      <w:r w:rsidR="000F7BAD" w:rsidRPr="000F7BAD">
        <w:t xml:space="preserve"> </w:t>
      </w:r>
      <w:r w:rsidR="00987138">
        <w:t xml:space="preserve">qu’ils aient ou non </w:t>
      </w:r>
      <w:r w:rsidR="000F7BAD" w:rsidRPr="000F7BAD">
        <w:t>fixé les antigènes du p</w:t>
      </w:r>
      <w:r>
        <w:t>lasmodium</w:t>
      </w:r>
      <w:r w:rsidR="000F7BAD" w:rsidRPr="000F7BAD">
        <w:t xml:space="preserve"> </w:t>
      </w:r>
      <w:r w:rsidR="00E22CE4">
        <w:t>continuent leur migration</w:t>
      </w:r>
      <w:r w:rsidR="000F7BAD" w:rsidRPr="000F7BAD">
        <w:t xml:space="preserve"> vers la zone 4</w:t>
      </w:r>
    </w:p>
    <w:p w:rsidR="000F7BAD" w:rsidRPr="000F7BAD" w:rsidRDefault="007F06C3" w:rsidP="00E46CFA">
      <w:r>
        <w:t>D</w:t>
      </w:r>
      <w:r w:rsidR="000F7BAD" w:rsidRPr="000F7BAD">
        <w:t xml:space="preserve">- </w:t>
      </w:r>
      <w:r w:rsidR="00987138">
        <w:t>Ceux qui ont fixés l’antigène du p</w:t>
      </w:r>
      <w:r>
        <w:t>lasmodium</w:t>
      </w:r>
      <w:r w:rsidR="00987138">
        <w:t xml:space="preserve"> </w:t>
      </w:r>
      <w:r w:rsidR="000F7BAD" w:rsidRPr="000F7BAD">
        <w:t>sont retenus par les anticorps anti</w:t>
      </w:r>
      <w:r w:rsidR="000F7BAD">
        <w:t>-</w:t>
      </w:r>
      <w:r w:rsidR="000F7BAD" w:rsidRPr="000F7BAD">
        <w:t>p</w:t>
      </w:r>
      <w:r>
        <w:t>lasmodium</w:t>
      </w:r>
      <w:r w:rsidR="000F7BAD" w:rsidRPr="000F7BAD">
        <w:t xml:space="preserve"> fixé</w:t>
      </w:r>
      <w:r w:rsidR="00B26486">
        <w:t>s</w:t>
      </w:r>
      <w:r w:rsidR="000F7BAD" w:rsidRPr="000F7BAD">
        <w:t xml:space="preserve"> sur la bande</w:t>
      </w:r>
      <w:r w:rsidR="006B05CB">
        <w:t xml:space="preserve"> 4</w:t>
      </w:r>
      <w:r w:rsidR="00872C59">
        <w:t> : l’antigène est « tenu » par deux anticorps anti plasmodium.</w:t>
      </w:r>
    </w:p>
    <w:p w:rsidR="00B26486" w:rsidRDefault="007F06C3" w:rsidP="00E46CFA">
      <w:r>
        <w:t>E</w:t>
      </w:r>
      <w:r w:rsidR="000F7BAD" w:rsidRPr="000F7BAD">
        <w:t xml:space="preserve">- les anticorps non fixés </w:t>
      </w:r>
      <w:r w:rsidR="00987138">
        <w:t xml:space="preserve">en zone 4 </w:t>
      </w:r>
      <w:r w:rsidR="000F7BAD" w:rsidRPr="000F7BAD">
        <w:t>migrent vers la zone 5 où ils se fixeront aux anticorps anti</w:t>
      </w:r>
      <w:r w:rsidR="000F7BAD">
        <w:t>-</w:t>
      </w:r>
      <w:r w:rsidR="000F7BAD" w:rsidRPr="000F7BAD">
        <w:t>anticorps</w:t>
      </w:r>
      <w:r w:rsidR="00987138">
        <w:t>. La zone 5 sert de validation du test car elle confirme que la goutte de sang a bien circulé dans toute la bande</w:t>
      </w:r>
      <w:r w:rsidR="006B05CB">
        <w:t xml:space="preserve">. </w:t>
      </w:r>
    </w:p>
    <w:p w:rsidR="00206ECC" w:rsidRPr="00206ECC" w:rsidRDefault="00206ECC" w:rsidP="00E46CFA">
      <w:pPr>
        <w:rPr>
          <w:b/>
          <w:i/>
        </w:rPr>
      </w:pPr>
      <w:r w:rsidRPr="00206ECC">
        <w:rPr>
          <w:b/>
        </w:rPr>
        <w:lastRenderedPageBreak/>
        <w:t xml:space="preserve">Doc 2 : </w:t>
      </w:r>
      <w:r w:rsidR="006F0C61" w:rsidRPr="00206ECC">
        <w:rPr>
          <w:b/>
        </w:rPr>
        <w:t xml:space="preserve">Exemple de test positif au </w:t>
      </w:r>
      <w:r w:rsidR="006F0C61" w:rsidRPr="00206ECC">
        <w:rPr>
          <w:b/>
          <w:i/>
        </w:rPr>
        <w:t>p. falciparum</w:t>
      </w:r>
    </w:p>
    <w:p w:rsidR="006F0C61" w:rsidRDefault="00206ECC" w:rsidP="00E46CFA">
      <w:pPr>
        <w:rPr>
          <w:i/>
        </w:rPr>
      </w:pPr>
      <w:r>
        <w:rPr>
          <w:noProof/>
          <w:lang w:eastAsia="fr-FR"/>
        </w:rPr>
        <w:drawing>
          <wp:inline distT="0" distB="0" distL="0" distR="0" wp14:anchorId="379648B2" wp14:editId="1B6F98C7">
            <wp:extent cx="6118945" cy="12039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5205" cy="121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CB" w:rsidRDefault="006B05CB" w:rsidP="00E46CFA">
      <w:r>
        <w:t xml:space="preserve">Une bande rouge dans la zone T indique que des anticorps marqués à l’or </w:t>
      </w:r>
      <w:r w:rsidR="00E22CE4">
        <w:t>colloïdal</w:t>
      </w:r>
      <w:r>
        <w:t xml:space="preserve"> sont arrêtés dans cette zone (zone</w:t>
      </w:r>
      <w:r w:rsidR="00E22CE4">
        <w:t xml:space="preserve"> </w:t>
      </w:r>
      <w:r>
        <w:t>4 du schéma)</w:t>
      </w:r>
    </w:p>
    <w:p w:rsidR="006B05CB" w:rsidRDefault="006B05CB" w:rsidP="00E46CFA">
      <w:r>
        <w:t xml:space="preserve">La bande rouge dans la zone C indique que le test est valide car des anticorps marqués à l’or </w:t>
      </w:r>
      <w:r w:rsidR="00E22CE4">
        <w:t>colloïdal</w:t>
      </w:r>
      <w:r>
        <w:t xml:space="preserve"> sont allés jusqu’à la </w:t>
      </w:r>
      <w:r w:rsidR="000C471E">
        <w:t>zone test</w:t>
      </w:r>
      <w:r>
        <w:t xml:space="preserve"> (zone 5 du schéma).</w:t>
      </w:r>
      <w:r w:rsidR="000C471E">
        <w:t xml:space="preserve"> En cas d’absence de bande dans la zone contrôle, le test est invalide et doit être refait.</w:t>
      </w:r>
    </w:p>
    <w:p w:rsidR="006B05CB" w:rsidRDefault="006B05CB" w:rsidP="00E46CFA"/>
    <w:p w:rsidR="00FD78D4" w:rsidRPr="00FD78D4" w:rsidRDefault="00206ECC" w:rsidP="00E46CFA">
      <w:pPr>
        <w:rPr>
          <w:b/>
        </w:rPr>
      </w:pPr>
      <w:r w:rsidRPr="00206ECC">
        <w:rPr>
          <w:b/>
        </w:rPr>
        <w:t xml:space="preserve">Doc 3 : </w:t>
      </w:r>
      <w:r w:rsidR="00E22CE4" w:rsidRPr="00206ECC">
        <w:rPr>
          <w:b/>
        </w:rPr>
        <w:t xml:space="preserve">Pour aller plus loin : </w:t>
      </w:r>
      <w:r w:rsidR="000C471E" w:rsidRPr="00206ECC">
        <w:rPr>
          <w:b/>
        </w:rPr>
        <w:t xml:space="preserve">tests </w:t>
      </w:r>
      <w:r w:rsidR="00E22CE4" w:rsidRPr="00206ECC">
        <w:rPr>
          <w:b/>
        </w:rPr>
        <w:t xml:space="preserve">de dépistage </w:t>
      </w:r>
      <w:r w:rsidR="000C471E" w:rsidRPr="00206ECC">
        <w:rPr>
          <w:b/>
        </w:rPr>
        <w:t xml:space="preserve">des paludismes : </w:t>
      </w:r>
    </w:p>
    <w:p w:rsidR="006F0C61" w:rsidRDefault="00FD78D4" w:rsidP="00FD78D4"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5339F4EE" wp14:editId="71762BBE">
            <wp:simplePos x="0" y="0"/>
            <wp:positionH relativeFrom="margin">
              <wp:posOffset>-601980</wp:posOffset>
            </wp:positionH>
            <wp:positionV relativeFrom="paragraph">
              <wp:posOffset>484505</wp:posOffset>
            </wp:positionV>
            <wp:extent cx="7011035" cy="4801235"/>
            <wp:effectExtent l="0" t="0" r="0" b="0"/>
            <wp:wrapSquare wrapText="bothSides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CB">
        <w:t xml:space="preserve">Certains </w:t>
      </w:r>
      <w:r w:rsidR="00B26486">
        <w:t xml:space="preserve">tests comportent une deuxième série d’anticorps reconnaissant spécifiquement une molécule commune à tous </w:t>
      </w:r>
      <w:r w:rsidR="00D64AC9">
        <w:t>les plasmodiums</w:t>
      </w:r>
      <w:r w:rsidR="00B26486">
        <w:t xml:space="preserve">. </w:t>
      </w:r>
      <w:r w:rsidR="006B05CB">
        <w:t xml:space="preserve">C’est la bande marquée « Pan » </w:t>
      </w:r>
      <w:r w:rsidR="00B26486">
        <w:t xml:space="preserve">sur les </w:t>
      </w:r>
      <w:r>
        <w:t>tests</w:t>
      </w:r>
    </w:p>
    <w:p w:rsidR="000C471E" w:rsidRPr="000C471E" w:rsidRDefault="000C471E" w:rsidP="00E46CFA">
      <w:pPr>
        <w:rPr>
          <w:i/>
        </w:rPr>
      </w:pPr>
      <w:r w:rsidRPr="000C471E">
        <w:rPr>
          <w:i/>
        </w:rPr>
        <w:t>D’après :  http://www.labquality.be/Documents/TLM_PRO_036(FR)_V01_SDFK60.pdf</w:t>
      </w:r>
    </w:p>
    <w:p w:rsidR="00B26486" w:rsidRDefault="00B26486" w:rsidP="00E46CFA"/>
    <w:p w:rsidR="00FD78D4" w:rsidRDefault="00FD78D4" w:rsidP="00E46CFA">
      <w:bookmarkStart w:id="0" w:name="_GoBack"/>
      <w:bookmarkEnd w:id="0"/>
    </w:p>
    <w:p w:rsidR="006F0C61" w:rsidRPr="00206ECC" w:rsidRDefault="00206ECC" w:rsidP="006F0C61">
      <w:pPr>
        <w:rPr>
          <w:b/>
        </w:rPr>
      </w:pPr>
      <w:r w:rsidRPr="00206ECC">
        <w:rPr>
          <w:b/>
        </w:rPr>
        <w:lastRenderedPageBreak/>
        <w:t xml:space="preserve">Doc 4 : </w:t>
      </w:r>
      <w:r w:rsidR="006F0C61" w:rsidRPr="00206ECC">
        <w:rPr>
          <w:b/>
        </w:rPr>
        <w:t xml:space="preserve">Résultats de monsieur P à </w:t>
      </w:r>
      <w:r w:rsidR="006B05CB" w:rsidRPr="00206ECC">
        <w:rPr>
          <w:b/>
        </w:rPr>
        <w:t>interpréter</w:t>
      </w:r>
    </w:p>
    <w:p w:rsidR="00101B27" w:rsidRDefault="006F0C61" w:rsidP="00E46CFA">
      <w:r>
        <w:rPr>
          <w:noProof/>
          <w:lang w:eastAsia="fr-FR"/>
        </w:rPr>
        <w:drawing>
          <wp:inline distT="0" distB="0" distL="0" distR="0" wp14:anchorId="4B57C8C0" wp14:editId="01BD4964">
            <wp:extent cx="5286375" cy="14192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27" w:rsidRDefault="00101B27" w:rsidP="00E46CFA"/>
    <w:p w:rsidR="006B05CB" w:rsidRDefault="006B05CB" w:rsidP="004C2E19">
      <w:pPr>
        <w:pStyle w:val="Paragraphedeliste"/>
        <w:ind w:left="0"/>
      </w:pPr>
    </w:p>
    <w:p w:rsidR="006B05CB" w:rsidRDefault="006B05CB" w:rsidP="004C2E19">
      <w:pPr>
        <w:pStyle w:val="Paragraphedeliste"/>
        <w:ind w:left="0"/>
      </w:pPr>
    </w:p>
    <w:p w:rsidR="006B05CB" w:rsidRPr="00206ECC" w:rsidRDefault="00206ECC" w:rsidP="004C2E19">
      <w:pPr>
        <w:pStyle w:val="Paragraphedeliste"/>
        <w:ind w:left="0"/>
        <w:rPr>
          <w:u w:val="single"/>
        </w:rPr>
      </w:pPr>
      <w:r w:rsidRPr="00206ECC">
        <w:rPr>
          <w:u w:val="single"/>
        </w:rPr>
        <w:t xml:space="preserve">Information : </w:t>
      </w:r>
    </w:p>
    <w:p w:rsidR="00467E5A" w:rsidRDefault="00467E5A" w:rsidP="004C2E19">
      <w:pPr>
        <w:pStyle w:val="Paragraphedeliste"/>
        <w:ind w:left="0"/>
      </w:pPr>
      <w:r>
        <w:t>Il faut une concentration de parasites supérieure à 100 par microlitre de sang</w:t>
      </w:r>
      <w:r w:rsidR="00987138">
        <w:t xml:space="preserve"> pour que le test soit réalisable.</w:t>
      </w:r>
    </w:p>
    <w:p w:rsidR="00467E5A" w:rsidRDefault="00467E5A" w:rsidP="00E46CFA"/>
    <w:p w:rsidR="00143079" w:rsidRDefault="004C2E19">
      <w:r>
        <w:t xml:space="preserve">D’après : </w:t>
      </w:r>
      <w:hyperlink r:id="rId11" w:history="1">
        <w:r w:rsidR="00E22CE4" w:rsidRPr="001774FC">
          <w:rPr>
            <w:rStyle w:val="Lienhypertexte"/>
          </w:rPr>
          <w:t>http://www.ecole-valdegrace.sante.defense.gouv.fr/IMG/pdf/2-3_Maslin_J-_Teste_rapide_du_diagnostic_du_paludisme_une_curieuse_discordance-_137-41.pdf</w:t>
        </w:r>
      </w:hyperlink>
    </w:p>
    <w:sectPr w:rsidR="00143079" w:rsidSect="002B690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4FB"/>
    <w:multiLevelType w:val="hybridMultilevel"/>
    <w:tmpl w:val="9744A096"/>
    <w:lvl w:ilvl="0" w:tplc="48009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08A"/>
    <w:multiLevelType w:val="hybridMultilevel"/>
    <w:tmpl w:val="0770B8A4"/>
    <w:lvl w:ilvl="0" w:tplc="93164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E563A"/>
    <w:multiLevelType w:val="hybridMultilevel"/>
    <w:tmpl w:val="AA982C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A"/>
    <w:rsid w:val="000C471E"/>
    <w:rsid w:val="000E1C20"/>
    <w:rsid w:val="000E3787"/>
    <w:rsid w:val="000F7BAD"/>
    <w:rsid w:val="00101B27"/>
    <w:rsid w:val="00206ECC"/>
    <w:rsid w:val="003722C7"/>
    <w:rsid w:val="003872BE"/>
    <w:rsid w:val="003D6220"/>
    <w:rsid w:val="0043683A"/>
    <w:rsid w:val="00467E5A"/>
    <w:rsid w:val="004C2E19"/>
    <w:rsid w:val="004D6746"/>
    <w:rsid w:val="005272E9"/>
    <w:rsid w:val="0057048D"/>
    <w:rsid w:val="00640F1D"/>
    <w:rsid w:val="00655A7F"/>
    <w:rsid w:val="006B05CB"/>
    <w:rsid w:val="006F0C61"/>
    <w:rsid w:val="00785166"/>
    <w:rsid w:val="007F06C3"/>
    <w:rsid w:val="00855A95"/>
    <w:rsid w:val="00872C59"/>
    <w:rsid w:val="00987138"/>
    <w:rsid w:val="00B26486"/>
    <w:rsid w:val="00D64AC9"/>
    <w:rsid w:val="00E22CE4"/>
    <w:rsid w:val="00E46CFA"/>
    <w:rsid w:val="00E64CF0"/>
    <w:rsid w:val="00ED02E7"/>
    <w:rsid w:val="00F64745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BCD7"/>
  <w15:chartTrackingRefBased/>
  <w15:docId w15:val="{04BA3BA9-2D45-4E48-AE29-621310AD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C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cole-valdegrace.sante.defense.gouv.fr/IMG/pdf/2-3_Maslin_J-_Teste_rapide_du_diagnostic_du_paludisme_une_curieuse_discordance-_137-41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2019-10-02T14:05:00Z</cp:lastPrinted>
  <dcterms:created xsi:type="dcterms:W3CDTF">2019-10-02T14:09:00Z</dcterms:created>
  <dcterms:modified xsi:type="dcterms:W3CDTF">2019-10-02T14:09:00Z</dcterms:modified>
</cp:coreProperties>
</file>