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58" w:rsidRPr="00A27C58" w:rsidRDefault="00A27C58" w:rsidP="00A27C58">
      <w:pPr>
        <w:spacing w:line="276" w:lineRule="auto"/>
        <w:jc w:val="both"/>
        <w:rPr>
          <w:b/>
          <w:color w:val="000000" w:themeColor="text1"/>
        </w:rPr>
      </w:pPr>
      <w:r w:rsidRPr="00A27C58">
        <w:rPr>
          <w:b/>
          <w:color w:val="000000" w:themeColor="text1"/>
        </w:rPr>
        <w:t>Complément 1</w:t>
      </w:r>
    </w:p>
    <w:p w:rsidR="00A27C58" w:rsidRDefault="00A27C58" w:rsidP="00A27C58">
      <w:pPr>
        <w:spacing w:line="276" w:lineRule="auto"/>
        <w:jc w:val="both"/>
        <w:rPr>
          <w:color w:val="000000" w:themeColor="text1"/>
        </w:rPr>
      </w:pPr>
    </w:p>
    <w:p w:rsidR="00A27C58" w:rsidRPr="00213890" w:rsidRDefault="00A27C58" w:rsidP="00A27C58">
      <w:pPr>
        <w:spacing w:line="276" w:lineRule="auto"/>
        <w:jc w:val="both"/>
      </w:pPr>
      <w:r>
        <w:rPr>
          <w:color w:val="000000" w:themeColor="text1"/>
        </w:rPr>
        <w:t xml:space="preserve">L’IRM du patient révèle une anomalie dans son hémisphère droit. Mais, en l’absence d’IRM de contrôle antérieure au malaise, il est impossible de conclure que cette lésion cérébrale constitue bien la cause de l’hémiplégie. Logiquement, la vérification de cette déduction nécessite de vérifier que la motricité du côté gauche du corps repose sur l’activité de la partie de l’hémisphère droit qui semble lésée chez le patient (en supposant que </w:t>
      </w:r>
      <w:r w:rsidRPr="00213890">
        <w:t xml:space="preserve">le cerveau du patient fonctionne de la même façon que celui </w:t>
      </w:r>
      <w:r>
        <w:t>du cobaye</w:t>
      </w:r>
      <w:r w:rsidRPr="00213890">
        <w:t xml:space="preserve"> </w:t>
      </w:r>
      <w:r>
        <w:t>ET e</w:t>
      </w:r>
      <w:r w:rsidRPr="00213890">
        <w:t>n supposant</w:t>
      </w:r>
      <w:r>
        <w:t xml:space="preserve"> que les aires motrices des autres muscles de la partie gauche du corps soient situées à proximité de l’aire motrice de la main gauche). </w:t>
      </w:r>
    </w:p>
    <w:p w:rsidR="00A27C58" w:rsidRPr="008F25DF" w:rsidRDefault="00A27C58" w:rsidP="00A27C58">
      <w:pPr>
        <w:jc w:val="both"/>
        <w:rPr>
          <w:color w:val="000000" w:themeColor="text1"/>
          <w:sz w:val="10"/>
        </w:rPr>
      </w:pPr>
    </w:p>
    <w:tbl>
      <w:tblPr>
        <w:tblStyle w:val="Grilledutableau"/>
        <w:tblW w:w="0" w:type="auto"/>
        <w:tblLayout w:type="fixed"/>
        <w:tblLook w:val="04A0"/>
      </w:tblPr>
      <w:tblGrid>
        <w:gridCol w:w="2660"/>
        <w:gridCol w:w="4252"/>
        <w:gridCol w:w="4076"/>
      </w:tblGrid>
      <w:tr w:rsidR="00A27C58" w:rsidRPr="001159D8" w:rsidTr="00F3573C">
        <w:tc>
          <w:tcPr>
            <w:tcW w:w="2660" w:type="dxa"/>
          </w:tcPr>
          <w:p w:rsidR="00A27C58" w:rsidRPr="001159D8" w:rsidRDefault="00A27C58" w:rsidP="00F3573C">
            <w:pPr>
              <w:jc w:val="center"/>
              <w:rPr>
                <w:b/>
              </w:rPr>
            </w:pPr>
          </w:p>
          <w:p w:rsidR="00A27C58" w:rsidRPr="001159D8" w:rsidRDefault="00A27C58" w:rsidP="00F3573C">
            <w:pPr>
              <w:jc w:val="center"/>
              <w:rPr>
                <w:b/>
              </w:rPr>
            </w:pPr>
            <w:r w:rsidRPr="001159D8">
              <w:rPr>
                <w:b/>
              </w:rPr>
              <w:t>Image</w:t>
            </w:r>
          </w:p>
          <w:p w:rsidR="00A27C58" w:rsidRPr="001159D8" w:rsidRDefault="00A27C58" w:rsidP="00F3573C">
            <w:pPr>
              <w:jc w:val="center"/>
              <w:rPr>
                <w:b/>
              </w:rPr>
            </w:pPr>
          </w:p>
        </w:tc>
        <w:tc>
          <w:tcPr>
            <w:tcW w:w="4252" w:type="dxa"/>
          </w:tcPr>
          <w:p w:rsidR="00A27C58" w:rsidRPr="001159D8" w:rsidRDefault="00A27C58" w:rsidP="00F3573C">
            <w:pPr>
              <w:jc w:val="center"/>
              <w:rPr>
                <w:b/>
              </w:rPr>
            </w:pPr>
          </w:p>
          <w:p w:rsidR="00A27C58" w:rsidRPr="001159D8" w:rsidRDefault="00A27C58" w:rsidP="00F3573C">
            <w:pPr>
              <w:jc w:val="center"/>
              <w:rPr>
                <w:b/>
              </w:rPr>
            </w:pPr>
            <w:r w:rsidRPr="001159D8">
              <w:rPr>
                <w:b/>
              </w:rPr>
              <w:t>Nom de l’image dans NEUROPEDA</w:t>
            </w:r>
          </w:p>
        </w:tc>
        <w:tc>
          <w:tcPr>
            <w:tcW w:w="4076" w:type="dxa"/>
          </w:tcPr>
          <w:p w:rsidR="00A27C58" w:rsidRDefault="00A27C58" w:rsidP="00F3573C">
            <w:pPr>
              <w:jc w:val="center"/>
              <w:rPr>
                <w:b/>
              </w:rPr>
            </w:pPr>
          </w:p>
          <w:p w:rsidR="00A27C58" w:rsidRPr="001159D8" w:rsidRDefault="00A27C58" w:rsidP="00F3573C">
            <w:pPr>
              <w:jc w:val="center"/>
              <w:rPr>
                <w:b/>
              </w:rPr>
            </w:pPr>
            <w:r>
              <w:rPr>
                <w:b/>
              </w:rPr>
              <w:t xml:space="preserve">Réglage des curseurs </w:t>
            </w:r>
          </w:p>
        </w:tc>
      </w:tr>
      <w:tr w:rsidR="00A27C58" w:rsidRPr="001159D8" w:rsidTr="00F3573C">
        <w:tc>
          <w:tcPr>
            <w:tcW w:w="2660" w:type="dxa"/>
          </w:tcPr>
          <w:p w:rsidR="00A27C58" w:rsidRDefault="00A27C58" w:rsidP="00F3573C">
            <w:pPr>
              <w:jc w:val="center"/>
            </w:pPr>
          </w:p>
          <w:p w:rsidR="00A27C58" w:rsidRDefault="00A27C58" w:rsidP="00F3573C">
            <w:pPr>
              <w:jc w:val="center"/>
            </w:pPr>
            <w:r w:rsidRPr="001159D8">
              <w:t xml:space="preserve">IRM cérébrale </w:t>
            </w:r>
            <w:r>
              <w:t>du cobaye</w:t>
            </w:r>
          </w:p>
          <w:p w:rsidR="00A27C58" w:rsidRPr="001159D8" w:rsidRDefault="00A27C58" w:rsidP="00F3573C">
            <w:pPr>
              <w:jc w:val="center"/>
            </w:pPr>
          </w:p>
        </w:tc>
        <w:tc>
          <w:tcPr>
            <w:tcW w:w="4252" w:type="dxa"/>
          </w:tcPr>
          <w:p w:rsidR="00A27C58" w:rsidRPr="001159D8" w:rsidRDefault="00A27C58" w:rsidP="00F3573C">
            <w:pPr>
              <w:jc w:val="center"/>
            </w:pPr>
          </w:p>
          <w:p w:rsidR="00A27C58" w:rsidRPr="001159D8" w:rsidRDefault="00A27C58" w:rsidP="00F3573C">
            <w:pPr>
              <w:jc w:val="center"/>
            </w:pPr>
            <w:r w:rsidRPr="001159D8">
              <w:t>IRM</w:t>
            </w:r>
            <w:r>
              <w:t>sujet13112anat</w:t>
            </w:r>
          </w:p>
        </w:tc>
        <w:tc>
          <w:tcPr>
            <w:tcW w:w="4076" w:type="dxa"/>
          </w:tcPr>
          <w:p w:rsidR="00A27C58" w:rsidRDefault="00A27C58" w:rsidP="00F3573C">
            <w:pPr>
              <w:jc w:val="center"/>
            </w:pPr>
          </w:p>
          <w:p w:rsidR="00A27C58" w:rsidRDefault="00A27C58" w:rsidP="00F3573C">
            <w:pPr>
              <w:ind w:left="176"/>
            </w:pPr>
            <w:r>
              <w:t>Curseur INF : 0 (valeur par défaut)</w:t>
            </w:r>
          </w:p>
          <w:p w:rsidR="00A27C58" w:rsidRDefault="00A27C58" w:rsidP="00F3573C">
            <w:pPr>
              <w:ind w:left="176"/>
            </w:pPr>
          </w:p>
          <w:p w:rsidR="00A27C58" w:rsidRDefault="00A27C58" w:rsidP="00F3573C">
            <w:pPr>
              <w:ind w:left="176"/>
            </w:pPr>
            <w:r>
              <w:t>Curseur SUP : 60</w:t>
            </w:r>
          </w:p>
          <w:p w:rsidR="00A27C58" w:rsidRPr="001159D8" w:rsidRDefault="00A27C58" w:rsidP="00F3573C">
            <w:pPr>
              <w:jc w:val="center"/>
            </w:pPr>
          </w:p>
        </w:tc>
      </w:tr>
      <w:tr w:rsidR="00A27C58" w:rsidRPr="001159D8" w:rsidTr="00F3573C">
        <w:tc>
          <w:tcPr>
            <w:tcW w:w="2660" w:type="dxa"/>
          </w:tcPr>
          <w:p w:rsidR="00A27C58" w:rsidRDefault="00A27C58" w:rsidP="00F3573C">
            <w:pPr>
              <w:jc w:val="center"/>
            </w:pPr>
          </w:p>
          <w:p w:rsidR="00A27C58" w:rsidRDefault="00A27C58" w:rsidP="00F3573C">
            <w:pPr>
              <w:jc w:val="center"/>
            </w:pPr>
            <w:r>
              <w:t>Calque fonctionnel</w:t>
            </w:r>
          </w:p>
          <w:p w:rsidR="00A27C58" w:rsidRPr="001159D8" w:rsidRDefault="00A27C58" w:rsidP="00F3573C">
            <w:pPr>
              <w:jc w:val="center"/>
            </w:pPr>
          </w:p>
        </w:tc>
        <w:tc>
          <w:tcPr>
            <w:tcW w:w="4252" w:type="dxa"/>
          </w:tcPr>
          <w:p w:rsidR="00A27C58" w:rsidRPr="001159D8" w:rsidRDefault="00A27C58" w:rsidP="00F3573C">
            <w:pPr>
              <w:jc w:val="center"/>
            </w:pPr>
          </w:p>
          <w:p w:rsidR="00A27C58" w:rsidRPr="001159D8" w:rsidRDefault="00A27C58" w:rsidP="00F3573C">
            <w:pPr>
              <w:jc w:val="center"/>
            </w:pPr>
            <w:r>
              <w:t>IRMsujet13112fonctionMotriciteMainGaucheVersusMainDroite</w:t>
            </w:r>
          </w:p>
        </w:tc>
        <w:tc>
          <w:tcPr>
            <w:tcW w:w="4076" w:type="dxa"/>
          </w:tcPr>
          <w:p w:rsidR="00A27C58" w:rsidRDefault="00A27C58" w:rsidP="00F3573C">
            <w:pPr>
              <w:jc w:val="center"/>
            </w:pPr>
          </w:p>
          <w:p w:rsidR="00A27C58" w:rsidRDefault="00A27C58" w:rsidP="00F3573C">
            <w:pPr>
              <w:ind w:left="176"/>
            </w:pPr>
            <w:r>
              <w:t>Curseur INF : 80</w:t>
            </w:r>
          </w:p>
          <w:p w:rsidR="00A27C58" w:rsidRDefault="00A27C58" w:rsidP="00F3573C">
            <w:pPr>
              <w:ind w:left="176"/>
            </w:pPr>
          </w:p>
          <w:p w:rsidR="00A27C58" w:rsidRDefault="00A27C58" w:rsidP="00F3573C">
            <w:pPr>
              <w:ind w:left="176"/>
            </w:pPr>
            <w:r>
              <w:t>Curseur SUP : 100 (valeur par défaut)</w:t>
            </w:r>
          </w:p>
          <w:p w:rsidR="00A27C58" w:rsidRPr="001159D8" w:rsidRDefault="00A27C58" w:rsidP="00F3573C">
            <w:pPr>
              <w:jc w:val="center"/>
            </w:pPr>
          </w:p>
        </w:tc>
      </w:tr>
    </w:tbl>
    <w:p w:rsidR="00A27C58" w:rsidRDefault="00A27C58" w:rsidP="00A27C58">
      <w:pPr>
        <w:jc w:val="both"/>
        <w:rPr>
          <w:color w:val="000000" w:themeColor="text1"/>
        </w:rPr>
      </w:pPr>
    </w:p>
    <w:p w:rsidR="00A27C58" w:rsidRPr="00AB028D" w:rsidRDefault="00A27C58" w:rsidP="00A27C58">
      <w:pPr>
        <w:spacing w:line="276" w:lineRule="auto"/>
        <w:jc w:val="both"/>
      </w:pPr>
      <w:r>
        <w:t>Afin que l’utilisation des outils EDUANATOMIST et NEUROPEDA ne constituent pas des obstacles didactiques, i</w:t>
      </w:r>
      <w:r w:rsidRPr="00AB028D">
        <w:t xml:space="preserve">l est vivement conseillé de renommer </w:t>
      </w:r>
      <w:r>
        <w:t xml:space="preserve">simplement </w:t>
      </w:r>
      <w:r w:rsidRPr="00AB028D">
        <w:t>ces images en prenant g</w:t>
      </w:r>
      <w:r>
        <w:t>arde à ne pas utiliser d’accent :</w:t>
      </w:r>
    </w:p>
    <w:p w:rsidR="00A27C58" w:rsidRPr="00AE2066" w:rsidRDefault="00A27C58" w:rsidP="00A27C58">
      <w:pPr>
        <w:spacing w:line="276" w:lineRule="auto"/>
        <w:jc w:val="both"/>
        <w:rPr>
          <w:color w:val="0070C0"/>
          <w:sz w:val="10"/>
        </w:rPr>
      </w:pPr>
    </w:p>
    <w:tbl>
      <w:tblPr>
        <w:tblStyle w:val="Grilledutableau"/>
        <w:tblW w:w="0" w:type="auto"/>
        <w:tblLook w:val="04A0"/>
      </w:tblPr>
      <w:tblGrid>
        <w:gridCol w:w="6771"/>
        <w:gridCol w:w="2904"/>
      </w:tblGrid>
      <w:tr w:rsidR="00A27C58" w:rsidRPr="001159D8" w:rsidTr="00A27C58">
        <w:tc>
          <w:tcPr>
            <w:tcW w:w="6771" w:type="dxa"/>
          </w:tcPr>
          <w:p w:rsidR="00A27C58" w:rsidRPr="001159D8" w:rsidRDefault="00A27C58" w:rsidP="00F3573C">
            <w:pPr>
              <w:jc w:val="center"/>
              <w:rPr>
                <w:b/>
              </w:rPr>
            </w:pPr>
          </w:p>
          <w:p w:rsidR="00A27C58" w:rsidRDefault="00A27C58" w:rsidP="00F3573C">
            <w:pPr>
              <w:jc w:val="center"/>
              <w:rPr>
                <w:b/>
              </w:rPr>
            </w:pPr>
            <w:r w:rsidRPr="001159D8">
              <w:rPr>
                <w:b/>
              </w:rPr>
              <w:t>Nom de l’image dans NEUROPEDA</w:t>
            </w:r>
          </w:p>
          <w:p w:rsidR="00A27C58" w:rsidRPr="001159D8" w:rsidRDefault="00A27C58" w:rsidP="00F3573C">
            <w:pPr>
              <w:jc w:val="center"/>
              <w:rPr>
                <w:b/>
              </w:rPr>
            </w:pPr>
          </w:p>
        </w:tc>
        <w:tc>
          <w:tcPr>
            <w:tcW w:w="2904" w:type="dxa"/>
          </w:tcPr>
          <w:p w:rsidR="00A27C58" w:rsidRDefault="00A27C58" w:rsidP="00F3573C">
            <w:pPr>
              <w:jc w:val="center"/>
              <w:rPr>
                <w:b/>
              </w:rPr>
            </w:pPr>
          </w:p>
          <w:p w:rsidR="00A27C58" w:rsidRPr="001159D8" w:rsidRDefault="00A27C58" w:rsidP="00F3573C">
            <w:pPr>
              <w:jc w:val="center"/>
              <w:rPr>
                <w:b/>
              </w:rPr>
            </w:pPr>
            <w:r>
              <w:rPr>
                <w:b/>
              </w:rPr>
              <w:t>Nom simplifié</w:t>
            </w:r>
          </w:p>
        </w:tc>
      </w:tr>
      <w:tr w:rsidR="00A27C58" w:rsidRPr="001159D8" w:rsidTr="00A27C58">
        <w:tc>
          <w:tcPr>
            <w:tcW w:w="6771" w:type="dxa"/>
          </w:tcPr>
          <w:p w:rsidR="00A27C58" w:rsidRPr="001159D8" w:rsidRDefault="00A27C58" w:rsidP="00F3573C">
            <w:pPr>
              <w:jc w:val="center"/>
            </w:pPr>
          </w:p>
          <w:p w:rsidR="00A27C58" w:rsidRDefault="00A27C58" w:rsidP="00F3573C">
            <w:pPr>
              <w:jc w:val="center"/>
            </w:pPr>
            <w:r w:rsidRPr="001159D8">
              <w:t>IRM</w:t>
            </w:r>
            <w:r>
              <w:t>sujet13112anat</w:t>
            </w:r>
          </w:p>
          <w:p w:rsidR="00A27C58" w:rsidRPr="001159D8" w:rsidRDefault="00A27C58" w:rsidP="00F3573C">
            <w:pPr>
              <w:jc w:val="center"/>
            </w:pPr>
          </w:p>
        </w:tc>
        <w:tc>
          <w:tcPr>
            <w:tcW w:w="2904" w:type="dxa"/>
          </w:tcPr>
          <w:p w:rsidR="00A27C58" w:rsidRDefault="00A27C58" w:rsidP="00F3573C">
            <w:pPr>
              <w:jc w:val="center"/>
            </w:pPr>
          </w:p>
          <w:p w:rsidR="00A27C58" w:rsidRPr="001159D8" w:rsidRDefault="00A27C58" w:rsidP="00A27C58">
            <w:pPr>
              <w:jc w:val="center"/>
            </w:pPr>
            <w:r>
              <w:t>IRM cobaye sain</w:t>
            </w:r>
          </w:p>
        </w:tc>
      </w:tr>
      <w:tr w:rsidR="00A27C58" w:rsidRPr="001159D8" w:rsidTr="00A27C58">
        <w:tc>
          <w:tcPr>
            <w:tcW w:w="6771" w:type="dxa"/>
          </w:tcPr>
          <w:p w:rsidR="00A27C58" w:rsidRPr="001159D8" w:rsidRDefault="00A27C58" w:rsidP="00F3573C">
            <w:pPr>
              <w:jc w:val="center"/>
            </w:pPr>
          </w:p>
          <w:p w:rsidR="00A27C58" w:rsidRDefault="00A27C58" w:rsidP="00A27C58">
            <w:pPr>
              <w:jc w:val="center"/>
            </w:pPr>
            <w:r>
              <w:t>IRMsujet13112fonctionMotriciteMainGaucheVersusMainDroite</w:t>
            </w:r>
          </w:p>
          <w:p w:rsidR="00A27C58" w:rsidRPr="001159D8" w:rsidRDefault="00A27C58" w:rsidP="00A27C58">
            <w:pPr>
              <w:jc w:val="center"/>
            </w:pPr>
          </w:p>
        </w:tc>
        <w:tc>
          <w:tcPr>
            <w:tcW w:w="2904" w:type="dxa"/>
          </w:tcPr>
          <w:p w:rsidR="00A27C58" w:rsidRDefault="00A27C58" w:rsidP="00F3573C">
            <w:pPr>
              <w:jc w:val="center"/>
            </w:pPr>
          </w:p>
          <w:p w:rsidR="00A27C58" w:rsidRPr="001159D8" w:rsidRDefault="00A27C58" w:rsidP="00F3573C">
            <w:pPr>
              <w:jc w:val="center"/>
            </w:pPr>
            <w:r>
              <w:t>Calque cobaye sain</w:t>
            </w:r>
          </w:p>
        </w:tc>
      </w:tr>
    </w:tbl>
    <w:p w:rsidR="00A27C58" w:rsidRDefault="00A27C58" w:rsidP="00A27C58">
      <w:pPr>
        <w:jc w:val="both"/>
        <w:rPr>
          <w:b/>
          <w:color w:val="000000" w:themeColor="text1"/>
        </w:rPr>
      </w:pPr>
    </w:p>
    <w:p w:rsidR="00A27C58" w:rsidRDefault="00A27C58"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A27C58" w:rsidRPr="00A27C58" w:rsidRDefault="00A27C58" w:rsidP="00A27C58">
      <w:pPr>
        <w:spacing w:line="276" w:lineRule="auto"/>
        <w:jc w:val="both"/>
        <w:rPr>
          <w:b/>
          <w:color w:val="000000" w:themeColor="text1"/>
        </w:rPr>
      </w:pPr>
      <w:r>
        <w:rPr>
          <w:b/>
          <w:color w:val="000000" w:themeColor="text1"/>
        </w:rPr>
        <w:lastRenderedPageBreak/>
        <w:t>Complément 2</w:t>
      </w:r>
    </w:p>
    <w:p w:rsidR="00A27C58" w:rsidRDefault="00A27C58" w:rsidP="00A27C58">
      <w:pPr>
        <w:jc w:val="both"/>
        <w:rPr>
          <w:color w:val="000000" w:themeColor="text1"/>
        </w:rPr>
      </w:pPr>
    </w:p>
    <w:p w:rsidR="00A27C58" w:rsidRDefault="00A27C58" w:rsidP="00A27C58">
      <w:pPr>
        <w:spacing w:line="276" w:lineRule="auto"/>
        <w:jc w:val="both"/>
        <w:rPr>
          <w:color w:val="000000" w:themeColor="text1"/>
        </w:rPr>
      </w:pPr>
      <w:r>
        <w:rPr>
          <w:color w:val="000000" w:themeColor="text1"/>
        </w:rPr>
        <w:t>L'activité montre que la consommation d'EPO provoque une augmentation de l'hématocrite, laquelle est présentée comme proportionnelle à la quantité de globules rouges.</w:t>
      </w:r>
      <w:r w:rsidR="002775B0">
        <w:rPr>
          <w:color w:val="000000" w:themeColor="text1"/>
        </w:rPr>
        <w:t xml:space="preserve"> Or, une augmentation de l'hématocrite peut traduire une déshydratation et non une variation du nombre d'hématies.</w:t>
      </w:r>
    </w:p>
    <w:p w:rsidR="002775B0" w:rsidRDefault="002775B0" w:rsidP="00A27C58">
      <w:pPr>
        <w:spacing w:line="276" w:lineRule="auto"/>
        <w:jc w:val="both"/>
        <w:rPr>
          <w:color w:val="000000" w:themeColor="text1"/>
        </w:rPr>
      </w:pPr>
    </w:p>
    <w:p w:rsidR="002775B0" w:rsidRDefault="002775B0" w:rsidP="00A27C58">
      <w:pPr>
        <w:spacing w:line="276" w:lineRule="auto"/>
        <w:jc w:val="both"/>
        <w:rPr>
          <w:color w:val="000000" w:themeColor="text1"/>
        </w:rPr>
      </w:pPr>
      <w:r>
        <w:rPr>
          <w:color w:val="000000" w:themeColor="text1"/>
        </w:rPr>
        <w:t>Le graphique suivant confirme que l'injection d'EPO entraîne bien une augmentation du nombre de globules rouges.</w:t>
      </w:r>
    </w:p>
    <w:p w:rsidR="002775B0" w:rsidRDefault="002775B0" w:rsidP="00A27C58">
      <w:pPr>
        <w:spacing w:line="276" w:lineRule="auto"/>
        <w:jc w:val="both"/>
        <w:rPr>
          <w:color w:val="000000" w:themeColor="text1"/>
        </w:rPr>
      </w:pPr>
    </w:p>
    <w:p w:rsidR="00A27C58" w:rsidRDefault="002775B0" w:rsidP="002775B0">
      <w:pPr>
        <w:jc w:val="center"/>
        <w:rPr>
          <w:color w:val="000000" w:themeColor="text1"/>
        </w:rPr>
      </w:pPr>
      <w:r w:rsidRPr="002775B0">
        <w:rPr>
          <w:noProof/>
          <w:color w:val="000000" w:themeColor="text1"/>
          <w:lang w:eastAsia="fr-FR"/>
        </w:rPr>
        <w:drawing>
          <wp:inline distT="0" distB="0" distL="0" distR="0">
            <wp:extent cx="4481868" cy="3107184"/>
            <wp:effectExtent l="19050" t="0" r="0" b="0"/>
            <wp:docPr id="1" name="Image 0" descr="GR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v2.jpg"/>
                    <pic:cNvPicPr/>
                  </pic:nvPicPr>
                  <pic:blipFill>
                    <a:blip r:embed="rId4" cstate="print"/>
                    <a:stretch>
                      <a:fillRect/>
                    </a:stretch>
                  </pic:blipFill>
                  <pic:spPr>
                    <a:xfrm>
                      <a:off x="0" y="0"/>
                      <a:ext cx="4483290" cy="3108170"/>
                    </a:xfrm>
                    <a:prstGeom prst="rect">
                      <a:avLst/>
                    </a:prstGeom>
                  </pic:spPr>
                </pic:pic>
              </a:graphicData>
            </a:graphic>
          </wp:inline>
        </w:drawing>
      </w:r>
    </w:p>
    <w:p w:rsidR="002775B0" w:rsidRDefault="002775B0" w:rsidP="002775B0">
      <w:pPr>
        <w:jc w:val="center"/>
        <w:rPr>
          <w:color w:val="000000" w:themeColor="text1"/>
        </w:rPr>
      </w:pPr>
    </w:p>
    <w:p w:rsidR="00A27C58" w:rsidRDefault="002775B0" w:rsidP="002775B0">
      <w:pPr>
        <w:jc w:val="right"/>
        <w:rPr>
          <w:color w:val="000000" w:themeColor="text1"/>
        </w:rPr>
      </w:pPr>
      <w:r w:rsidRPr="002775B0">
        <w:rPr>
          <w:bCs/>
          <w:sz w:val="16"/>
          <w:szCs w:val="16"/>
        </w:rPr>
        <w:t>D'</w:t>
      </w:r>
      <w:r>
        <w:rPr>
          <w:bCs/>
          <w:sz w:val="16"/>
          <w:szCs w:val="16"/>
        </w:rPr>
        <w:t>ap</w:t>
      </w:r>
      <w:r w:rsidRPr="002775B0">
        <w:rPr>
          <w:bCs/>
          <w:sz w:val="16"/>
          <w:szCs w:val="16"/>
        </w:rPr>
        <w:t xml:space="preserve">rès </w:t>
      </w:r>
      <w:r w:rsidRPr="0095332C">
        <w:rPr>
          <w:bCs/>
          <w:i/>
          <w:sz w:val="16"/>
          <w:szCs w:val="16"/>
        </w:rPr>
        <w:t>The evolving science of detection of « blood doping »</w:t>
      </w:r>
      <w:r w:rsidRPr="0095332C">
        <w:rPr>
          <w:bCs/>
          <w:sz w:val="16"/>
          <w:szCs w:val="16"/>
        </w:rPr>
        <w:t>, C. Lundby et al., British Journal of Pharmacology, 2011</w:t>
      </w:r>
    </w:p>
    <w:p w:rsidR="00A27C58" w:rsidRDefault="00A27C58"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Default="002775B0" w:rsidP="00A27C58">
      <w:pPr>
        <w:jc w:val="both"/>
        <w:rPr>
          <w:color w:val="000000" w:themeColor="text1"/>
        </w:rPr>
      </w:pPr>
    </w:p>
    <w:p w:rsidR="002775B0" w:rsidRPr="00A27C58" w:rsidRDefault="002775B0" w:rsidP="002775B0">
      <w:pPr>
        <w:spacing w:line="276" w:lineRule="auto"/>
        <w:jc w:val="both"/>
        <w:rPr>
          <w:b/>
          <w:color w:val="000000" w:themeColor="text1"/>
        </w:rPr>
      </w:pPr>
      <w:r>
        <w:rPr>
          <w:b/>
          <w:color w:val="000000" w:themeColor="text1"/>
        </w:rPr>
        <w:t>Complément 3</w:t>
      </w:r>
    </w:p>
    <w:p w:rsidR="002775B0" w:rsidRDefault="002775B0" w:rsidP="002775B0">
      <w:pPr>
        <w:jc w:val="both"/>
        <w:rPr>
          <w:color w:val="000000" w:themeColor="text1"/>
        </w:rPr>
      </w:pPr>
    </w:p>
    <w:p w:rsidR="00A27C58" w:rsidRDefault="002775B0" w:rsidP="002775B0">
      <w:pPr>
        <w:spacing w:line="276" w:lineRule="auto"/>
        <w:jc w:val="both"/>
        <w:rPr>
          <w:color w:val="000000" w:themeColor="text1"/>
        </w:rPr>
      </w:pPr>
      <w:r>
        <w:rPr>
          <w:color w:val="000000" w:themeColor="text1"/>
        </w:rPr>
        <w:t>Le graphique suivant confirme que l'injection d'EPO entraîne bien une augmentation du VO</w:t>
      </w:r>
      <w:r w:rsidRPr="002775B0">
        <w:rPr>
          <w:color w:val="000000" w:themeColor="text1"/>
          <w:vertAlign w:val="subscript"/>
        </w:rPr>
        <w:t>2</w:t>
      </w:r>
      <w:r>
        <w:rPr>
          <w:color w:val="000000" w:themeColor="text1"/>
        </w:rPr>
        <w:t>max.</w:t>
      </w:r>
    </w:p>
    <w:p w:rsidR="00A27C58" w:rsidRDefault="00A27C58" w:rsidP="00A27C58">
      <w:pPr>
        <w:jc w:val="both"/>
        <w:rPr>
          <w:color w:val="000000" w:themeColor="text1"/>
        </w:rPr>
      </w:pPr>
    </w:p>
    <w:p w:rsidR="00A27C58" w:rsidRDefault="00A27C58" w:rsidP="00A27C58">
      <w:pPr>
        <w:jc w:val="center"/>
        <w:rPr>
          <w:color w:val="000000" w:themeColor="text1"/>
        </w:rPr>
      </w:pPr>
      <w:r>
        <w:rPr>
          <w:noProof/>
          <w:color w:val="000000" w:themeColor="text1"/>
          <w:lang w:eastAsia="fr-FR"/>
        </w:rPr>
        <w:drawing>
          <wp:inline distT="0" distB="0" distL="0" distR="0">
            <wp:extent cx="4341180" cy="3137401"/>
            <wp:effectExtent l="19050" t="0" r="2220" b="0"/>
            <wp:docPr id="4" name="Image 1" descr="VO2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2max.jpg"/>
                    <pic:cNvPicPr/>
                  </pic:nvPicPr>
                  <pic:blipFill>
                    <a:blip r:embed="rId5" cstate="print"/>
                    <a:stretch>
                      <a:fillRect/>
                    </a:stretch>
                  </pic:blipFill>
                  <pic:spPr>
                    <a:xfrm>
                      <a:off x="0" y="0"/>
                      <a:ext cx="4340055" cy="3136588"/>
                    </a:xfrm>
                    <a:prstGeom prst="rect">
                      <a:avLst/>
                    </a:prstGeom>
                  </pic:spPr>
                </pic:pic>
              </a:graphicData>
            </a:graphic>
          </wp:inline>
        </w:drawing>
      </w:r>
    </w:p>
    <w:p w:rsidR="00A27C58" w:rsidRDefault="00A27C58" w:rsidP="00A27C58">
      <w:pPr>
        <w:spacing w:line="276" w:lineRule="auto"/>
        <w:jc w:val="both"/>
        <w:rPr>
          <w:b/>
        </w:rPr>
      </w:pPr>
    </w:p>
    <w:p w:rsidR="002775B0" w:rsidRDefault="002775B0" w:rsidP="002775B0">
      <w:pPr>
        <w:jc w:val="right"/>
        <w:rPr>
          <w:color w:val="000000" w:themeColor="text1"/>
        </w:rPr>
      </w:pPr>
      <w:r w:rsidRPr="002775B0">
        <w:rPr>
          <w:bCs/>
          <w:sz w:val="16"/>
          <w:szCs w:val="16"/>
        </w:rPr>
        <w:t>D'</w:t>
      </w:r>
      <w:r>
        <w:rPr>
          <w:bCs/>
          <w:sz w:val="16"/>
          <w:szCs w:val="16"/>
        </w:rPr>
        <w:t>ap</w:t>
      </w:r>
      <w:r w:rsidRPr="002775B0">
        <w:rPr>
          <w:bCs/>
          <w:sz w:val="16"/>
          <w:szCs w:val="16"/>
        </w:rPr>
        <w:t xml:space="preserve">rès </w:t>
      </w:r>
      <w:r w:rsidRPr="0095332C">
        <w:rPr>
          <w:bCs/>
          <w:i/>
          <w:sz w:val="16"/>
          <w:szCs w:val="16"/>
        </w:rPr>
        <w:t>The evolving science of detection of « blood doping »</w:t>
      </w:r>
      <w:r w:rsidRPr="0095332C">
        <w:rPr>
          <w:bCs/>
          <w:sz w:val="16"/>
          <w:szCs w:val="16"/>
        </w:rPr>
        <w:t>, C. Lundby et al., British Journal of Pharmacology, 2011</w:t>
      </w:r>
    </w:p>
    <w:p w:rsidR="00A27C58" w:rsidRDefault="002775B0" w:rsidP="00A27C58">
      <w:pPr>
        <w:spacing w:line="276" w:lineRule="auto"/>
        <w:jc w:val="both"/>
        <w:rPr>
          <w:b/>
        </w:rPr>
      </w:pPr>
      <w:r>
        <w:rPr>
          <w:b/>
        </w:rPr>
        <w:lastRenderedPageBreak/>
        <w:t>Complément 4</w:t>
      </w:r>
    </w:p>
    <w:p w:rsidR="00C93C59" w:rsidRDefault="00C93C59"/>
    <w:p w:rsidR="002460F2" w:rsidRDefault="00FE6049" w:rsidP="00FE6049">
      <w:pPr>
        <w:spacing w:line="276" w:lineRule="auto"/>
        <w:jc w:val="both"/>
      </w:pPr>
      <w:r>
        <w:t xml:space="preserve">La détection de l'EPO consommée par un sportif devrait se trouver compliquée par </w:t>
      </w:r>
      <w:r w:rsidR="0035435E">
        <w:t>l'existence</w:t>
      </w:r>
      <w:r>
        <w:t xml:space="preserve"> d'EPO endogène naturellement sécrétée par l'organisme. On pourrait bien sûr considérer que le dopage se caractérise par des teneurs anormalement élevées d'EPO</w:t>
      </w:r>
      <w:r w:rsidR="00647AF1">
        <w:t>,</w:t>
      </w:r>
      <w:r>
        <w:t xml:space="preserve"> mais </w:t>
      </w:r>
      <w:r w:rsidR="00C0309C">
        <w:t xml:space="preserve">avec un risque de faux positif compte-tenu de </w:t>
      </w:r>
      <w:r w:rsidR="00647AF1">
        <w:t xml:space="preserve">la </w:t>
      </w:r>
      <w:r w:rsidR="00C0309C">
        <w:t>variabilité interindividuelle.</w:t>
      </w:r>
    </w:p>
    <w:p w:rsidR="002460F2" w:rsidRDefault="002460F2"/>
    <w:p w:rsidR="00C0309C" w:rsidRDefault="00C0309C" w:rsidP="00F504D6">
      <w:pPr>
        <w:spacing w:line="276" w:lineRule="auto"/>
        <w:jc w:val="both"/>
      </w:pPr>
      <w:r>
        <w:t xml:space="preserve">En réalité, l'EPO utilisée comme produit dopant - la même que celle employée à </w:t>
      </w:r>
      <w:r w:rsidR="0035435E">
        <w:t>d</w:t>
      </w:r>
      <w:r>
        <w:t xml:space="preserve">es fins thérapeutiques - est une molécule de synthèse dont les propriétés physico-chimiques permettent une détection dans les urines au moyen d'une </w:t>
      </w:r>
      <w:r w:rsidR="00F72CA9">
        <w:t xml:space="preserve">simple </w:t>
      </w:r>
      <w:r>
        <w:t xml:space="preserve">électrophorèse. </w:t>
      </w:r>
      <w:r w:rsidR="00F504D6">
        <w:t>Les différentes formes d'EPO ne possédant pas les mêmes charges, elles migrent différemment sur le support avant d'être révélées par immunofluorescence</w:t>
      </w:r>
      <w:r w:rsidR="000E66FF">
        <w:t>.</w:t>
      </w:r>
    </w:p>
    <w:p w:rsidR="000E66FF" w:rsidRDefault="000E66FF"/>
    <w:p w:rsidR="000E66FF" w:rsidRPr="000E66FF" w:rsidRDefault="000E66FF" w:rsidP="000E66FF">
      <w:pPr>
        <w:jc w:val="center"/>
        <w:rPr>
          <w:b/>
        </w:rPr>
      </w:pPr>
      <w:r w:rsidRPr="000E66FF">
        <w:rPr>
          <w:b/>
        </w:rPr>
        <w:t>Résultats d'immunoélectrophorèses</w:t>
      </w:r>
    </w:p>
    <w:p w:rsidR="000E66FF" w:rsidRDefault="000E66FF" w:rsidP="000E66FF">
      <w:pPr>
        <w:jc w:val="center"/>
      </w:pPr>
    </w:p>
    <w:p w:rsidR="000E66FF" w:rsidRDefault="000E66FF" w:rsidP="000E66FF">
      <w:pPr>
        <w:jc w:val="center"/>
      </w:pPr>
      <w:r>
        <w:rPr>
          <w:noProof/>
          <w:lang w:eastAsia="fr-FR"/>
        </w:rPr>
        <w:drawing>
          <wp:inline distT="0" distB="0" distL="0" distR="0">
            <wp:extent cx="3626708" cy="3471835"/>
            <wp:effectExtent l="19050" t="0" r="0" b="0"/>
            <wp:docPr id="2" name="Image 1" descr="T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jpg"/>
                    <pic:cNvPicPr/>
                  </pic:nvPicPr>
                  <pic:blipFill>
                    <a:blip r:embed="rId6" cstate="print"/>
                    <a:stretch>
                      <a:fillRect/>
                    </a:stretch>
                  </pic:blipFill>
                  <pic:spPr>
                    <a:xfrm>
                      <a:off x="0" y="0"/>
                      <a:ext cx="3627381" cy="3472480"/>
                    </a:xfrm>
                    <a:prstGeom prst="rect">
                      <a:avLst/>
                    </a:prstGeom>
                  </pic:spPr>
                </pic:pic>
              </a:graphicData>
            </a:graphic>
          </wp:inline>
        </w:drawing>
      </w:r>
    </w:p>
    <w:p w:rsidR="000E66FF" w:rsidRDefault="000E66FF" w:rsidP="000E66FF">
      <w:pPr>
        <w:jc w:val="center"/>
      </w:pPr>
    </w:p>
    <w:p w:rsidR="000E66FF" w:rsidRDefault="000E66FF" w:rsidP="000E66FF">
      <w:pPr>
        <w:jc w:val="center"/>
      </w:pPr>
    </w:p>
    <w:p w:rsidR="002460F2" w:rsidRDefault="000E66FF" w:rsidP="000E66FF">
      <w:pPr>
        <w:jc w:val="center"/>
      </w:pPr>
      <w:r>
        <w:t xml:space="preserve">    </w:t>
      </w:r>
      <w:r>
        <w:rPr>
          <w:noProof/>
          <w:lang w:eastAsia="fr-FR"/>
        </w:rPr>
        <w:drawing>
          <wp:inline distT="0" distB="0" distL="0" distR="0">
            <wp:extent cx="3762632" cy="2724171"/>
            <wp:effectExtent l="19050" t="0" r="9268" b="0"/>
            <wp:docPr id="5" name="Image 4" descr="Sport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fs.jpg"/>
                    <pic:cNvPicPr/>
                  </pic:nvPicPr>
                  <pic:blipFill>
                    <a:blip r:embed="rId7" cstate="print"/>
                    <a:stretch>
                      <a:fillRect/>
                    </a:stretch>
                  </pic:blipFill>
                  <pic:spPr>
                    <a:xfrm>
                      <a:off x="0" y="0"/>
                      <a:ext cx="3763331" cy="2724677"/>
                    </a:xfrm>
                    <a:prstGeom prst="rect">
                      <a:avLst/>
                    </a:prstGeom>
                  </pic:spPr>
                </pic:pic>
              </a:graphicData>
            </a:graphic>
          </wp:inline>
        </w:drawing>
      </w:r>
    </w:p>
    <w:p w:rsidR="000E66FF" w:rsidRDefault="000E66FF"/>
    <w:p w:rsidR="000E66FF" w:rsidRDefault="000E66FF">
      <w:r>
        <w:t>Seul le sportif A n'est pas dopé.</w:t>
      </w:r>
    </w:p>
    <w:p w:rsidR="000E66FF" w:rsidRDefault="000E66FF"/>
    <w:p w:rsidR="002460F2" w:rsidRPr="002460F2" w:rsidRDefault="002460F2" w:rsidP="00647AF1">
      <w:pPr>
        <w:jc w:val="right"/>
        <w:rPr>
          <w:sz w:val="16"/>
          <w:szCs w:val="16"/>
        </w:rPr>
      </w:pPr>
      <w:r w:rsidRPr="002460F2">
        <w:rPr>
          <w:sz w:val="16"/>
          <w:szCs w:val="16"/>
        </w:rPr>
        <w:t xml:space="preserve">D'après </w:t>
      </w:r>
      <w:r w:rsidRPr="00C918ED">
        <w:rPr>
          <w:i/>
          <w:sz w:val="16"/>
          <w:szCs w:val="16"/>
        </w:rPr>
        <w:t>Blood</w:t>
      </w:r>
      <w:r>
        <w:rPr>
          <w:sz w:val="16"/>
          <w:szCs w:val="16"/>
        </w:rPr>
        <w:t xml:space="preserve">, </w:t>
      </w:r>
      <w:r w:rsidR="00C918ED">
        <w:rPr>
          <w:sz w:val="16"/>
          <w:szCs w:val="16"/>
        </w:rPr>
        <w:t xml:space="preserve">volume 108, </w:t>
      </w:r>
      <w:r>
        <w:rPr>
          <w:sz w:val="16"/>
          <w:szCs w:val="16"/>
        </w:rPr>
        <w:t>2006</w:t>
      </w:r>
      <w:r w:rsidR="00C0309C">
        <w:rPr>
          <w:sz w:val="16"/>
          <w:szCs w:val="16"/>
        </w:rPr>
        <w:t xml:space="preserve"> et l'académie de Toulouse</w:t>
      </w:r>
    </w:p>
    <w:sectPr w:rsidR="002460F2" w:rsidRPr="002460F2" w:rsidSect="00960562">
      <w:pgSz w:w="11906" w:h="16838"/>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efaultTabStop w:val="708"/>
  <w:hyphenationZone w:val="425"/>
  <w:drawingGridHorizontalSpacing w:val="110"/>
  <w:displayHorizontalDrawingGridEvery w:val="2"/>
  <w:displayVerticalDrawingGridEvery w:val="2"/>
  <w:characterSpacingControl w:val="doNotCompress"/>
  <w:compat/>
  <w:rsids>
    <w:rsidRoot w:val="00A27C58"/>
    <w:rsid w:val="000E66FF"/>
    <w:rsid w:val="002460F2"/>
    <w:rsid w:val="002775B0"/>
    <w:rsid w:val="0035435E"/>
    <w:rsid w:val="00531498"/>
    <w:rsid w:val="00647AF1"/>
    <w:rsid w:val="0066705D"/>
    <w:rsid w:val="00960562"/>
    <w:rsid w:val="00A27C58"/>
    <w:rsid w:val="00C0309C"/>
    <w:rsid w:val="00C918ED"/>
    <w:rsid w:val="00C93C59"/>
    <w:rsid w:val="00D45737"/>
    <w:rsid w:val="00F504D6"/>
    <w:rsid w:val="00F72CA9"/>
    <w:rsid w:val="00FE60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58"/>
    <w:pPr>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7C5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7C58"/>
    <w:rPr>
      <w:rFonts w:ascii="Tahoma" w:hAnsi="Tahoma" w:cs="Tahoma"/>
      <w:sz w:val="16"/>
      <w:szCs w:val="16"/>
    </w:rPr>
  </w:style>
  <w:style w:type="character" w:customStyle="1" w:styleId="TextedebullesCar">
    <w:name w:val="Texte de bulles Car"/>
    <w:basedOn w:val="Policepardfaut"/>
    <w:link w:val="Textedebulles"/>
    <w:uiPriority w:val="99"/>
    <w:semiHidden/>
    <w:rsid w:val="00A27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Utilisateur</cp:lastModifiedBy>
  <cp:revision>2</cp:revision>
  <dcterms:created xsi:type="dcterms:W3CDTF">2016-07-22T10:18:00Z</dcterms:created>
  <dcterms:modified xsi:type="dcterms:W3CDTF">2016-07-22T10:18:00Z</dcterms:modified>
</cp:coreProperties>
</file>