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E9" w:rsidRPr="00F8436A" w:rsidRDefault="00CA79E9" w:rsidP="00F8436A">
      <w:pPr>
        <w:jc w:val="center"/>
        <w:rPr>
          <w:b/>
          <w:u w:val="single"/>
        </w:rPr>
      </w:pPr>
      <w:r w:rsidRPr="00F8436A">
        <w:rPr>
          <w:b/>
          <w:u w:val="single"/>
        </w:rPr>
        <w:t>Eléments de correction</w:t>
      </w:r>
    </w:p>
    <w:p w:rsidR="00705821" w:rsidRDefault="00705821" w:rsidP="00F8436A">
      <w:pPr>
        <w:jc w:val="both"/>
        <w:rPr>
          <w:b/>
        </w:rPr>
      </w:pPr>
    </w:p>
    <w:p w:rsidR="004A1BFA" w:rsidRDefault="004A1BFA" w:rsidP="00F8436A">
      <w:pPr>
        <w:jc w:val="both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3510"/>
        <w:gridCol w:w="3686"/>
        <w:gridCol w:w="3716"/>
      </w:tblGrid>
      <w:tr w:rsidR="008930FB" w:rsidTr="008930FB">
        <w:tc>
          <w:tcPr>
            <w:tcW w:w="7196" w:type="dxa"/>
            <w:gridSpan w:val="2"/>
          </w:tcPr>
          <w:p w:rsidR="008930FB" w:rsidRPr="008930FB" w:rsidRDefault="008930FB" w:rsidP="008930FB">
            <w:pPr>
              <w:spacing w:before="100" w:after="100"/>
              <w:jc w:val="center"/>
              <w:rPr>
                <w:b/>
              </w:rPr>
            </w:pPr>
            <w:r w:rsidRPr="008930FB">
              <w:rPr>
                <w:b/>
              </w:rPr>
              <w:t>Saisie d’informations et apport de connaissances</w:t>
            </w:r>
          </w:p>
        </w:tc>
        <w:tc>
          <w:tcPr>
            <w:tcW w:w="3716" w:type="dxa"/>
          </w:tcPr>
          <w:p w:rsidR="008930FB" w:rsidRPr="008930FB" w:rsidRDefault="008930FB" w:rsidP="008930FB">
            <w:pPr>
              <w:spacing w:before="100" w:after="100"/>
              <w:jc w:val="center"/>
              <w:rPr>
                <w:b/>
              </w:rPr>
            </w:pPr>
            <w:r w:rsidRPr="008930FB">
              <w:rPr>
                <w:b/>
              </w:rPr>
              <w:t>Interprétations</w:t>
            </w:r>
          </w:p>
        </w:tc>
      </w:tr>
      <w:tr w:rsidR="008930FB" w:rsidTr="008930FB">
        <w:tc>
          <w:tcPr>
            <w:tcW w:w="7196" w:type="dxa"/>
            <w:gridSpan w:val="2"/>
          </w:tcPr>
          <w:p w:rsidR="008930FB" w:rsidRPr="008930FB" w:rsidRDefault="008930FB" w:rsidP="00F8436A">
            <w:pPr>
              <w:jc w:val="both"/>
              <w:rPr>
                <w:sz w:val="10"/>
              </w:rPr>
            </w:pPr>
          </w:p>
          <w:p w:rsidR="008930FB" w:rsidRPr="008930FB" w:rsidRDefault="008930FB" w:rsidP="008930FB">
            <w:pPr>
              <w:tabs>
                <w:tab w:val="left" w:pos="7088"/>
              </w:tabs>
              <w:spacing w:line="276" w:lineRule="auto"/>
              <w:jc w:val="both"/>
            </w:pPr>
            <w:r w:rsidRPr="008930FB">
              <w:t>On constate (doc.1) que le patient souffre d’une paralysie du côté gauche du corps.</w:t>
            </w:r>
          </w:p>
          <w:p w:rsidR="008930FB" w:rsidRPr="008930FB" w:rsidRDefault="008930FB" w:rsidP="00F8436A">
            <w:pPr>
              <w:jc w:val="both"/>
              <w:rPr>
                <w:sz w:val="10"/>
              </w:rPr>
            </w:pPr>
          </w:p>
          <w:p w:rsidR="008930FB" w:rsidRDefault="008930FB" w:rsidP="00F8436A">
            <w:pPr>
              <w:jc w:val="both"/>
            </w:pPr>
            <w:r w:rsidRPr="00F8436A">
              <w:t>On sait que le cerveau commande les mouvements du corps.</w:t>
            </w:r>
          </w:p>
          <w:p w:rsidR="008930FB" w:rsidRPr="008930FB" w:rsidRDefault="008930FB" w:rsidP="00F8436A">
            <w:pPr>
              <w:jc w:val="both"/>
              <w:rPr>
                <w:sz w:val="10"/>
              </w:rPr>
            </w:pPr>
          </w:p>
        </w:tc>
        <w:tc>
          <w:tcPr>
            <w:tcW w:w="3716" w:type="dxa"/>
          </w:tcPr>
          <w:p w:rsidR="008930FB" w:rsidRPr="008930FB" w:rsidRDefault="008930FB" w:rsidP="00F8436A">
            <w:pPr>
              <w:jc w:val="both"/>
              <w:rPr>
                <w:sz w:val="10"/>
              </w:rPr>
            </w:pPr>
          </w:p>
          <w:p w:rsidR="008930FB" w:rsidRDefault="008930FB" w:rsidP="008930FB">
            <w:pPr>
              <w:spacing w:line="276" w:lineRule="auto"/>
              <w:jc w:val="both"/>
            </w:pPr>
            <w:r>
              <w:t xml:space="preserve">On en déduit que la paralysie du patient pourrait résulter d’un disfonctionnement de son cerveau. </w:t>
            </w:r>
          </w:p>
        </w:tc>
      </w:tr>
      <w:tr w:rsidR="008930FB" w:rsidTr="008930FB">
        <w:trPr>
          <w:trHeight w:val="373"/>
        </w:trPr>
        <w:tc>
          <w:tcPr>
            <w:tcW w:w="7196" w:type="dxa"/>
            <w:gridSpan w:val="2"/>
          </w:tcPr>
          <w:p w:rsidR="008930FB" w:rsidRPr="008930FB" w:rsidRDefault="008930FB" w:rsidP="008930FB">
            <w:pPr>
              <w:spacing w:line="276" w:lineRule="auto"/>
              <w:jc w:val="both"/>
              <w:rPr>
                <w:b/>
                <w:sz w:val="10"/>
              </w:rPr>
            </w:pPr>
          </w:p>
          <w:p w:rsidR="008930FB" w:rsidRDefault="008930FB" w:rsidP="008930FB">
            <w:pPr>
              <w:spacing w:line="276" w:lineRule="auto"/>
              <w:jc w:val="both"/>
            </w:pPr>
            <w:r w:rsidRPr="008930FB">
              <w:t>On</w:t>
            </w:r>
            <w:r w:rsidRPr="00F8436A">
              <w:t xml:space="preserve"> constate </w:t>
            </w:r>
            <w:r>
              <w:t xml:space="preserve">(doc.2) </w:t>
            </w:r>
            <w:r w:rsidRPr="00F8436A">
              <w:t>que la partie</w:t>
            </w:r>
            <w:r>
              <w:t xml:space="preserve"> droite du cerveau du patient </w:t>
            </w:r>
            <w:r w:rsidRPr="00F8436A">
              <w:t>n’a pas le même aspect que celle d’un individu sain. On en déduit que la partie droite du cerveau du patien</w:t>
            </w:r>
            <w:r>
              <w:t xml:space="preserve">t </w:t>
            </w:r>
            <w:r w:rsidRPr="00F8436A">
              <w:t xml:space="preserve">est endommagée. </w:t>
            </w:r>
          </w:p>
          <w:p w:rsidR="008930FB" w:rsidRPr="008930FB" w:rsidRDefault="008930FB" w:rsidP="008930FB">
            <w:pPr>
              <w:spacing w:line="276" w:lineRule="auto"/>
              <w:jc w:val="both"/>
              <w:rPr>
                <w:sz w:val="10"/>
              </w:rPr>
            </w:pPr>
          </w:p>
        </w:tc>
        <w:tc>
          <w:tcPr>
            <w:tcW w:w="3716" w:type="dxa"/>
            <w:vMerge w:val="restart"/>
          </w:tcPr>
          <w:p w:rsidR="008930FB" w:rsidRPr="008930FB" w:rsidRDefault="008930FB" w:rsidP="00F8436A">
            <w:pPr>
              <w:jc w:val="both"/>
              <w:rPr>
                <w:sz w:val="10"/>
              </w:rPr>
            </w:pPr>
          </w:p>
          <w:p w:rsidR="008930FB" w:rsidRPr="008930FB" w:rsidRDefault="008930FB" w:rsidP="008930FB">
            <w:pPr>
              <w:spacing w:line="276" w:lineRule="auto"/>
              <w:jc w:val="both"/>
            </w:pPr>
            <w:r>
              <w:t>On en déduit que</w:t>
            </w:r>
            <w:r w:rsidRPr="00F8436A">
              <w:rPr>
                <w:i/>
              </w:rPr>
              <w:t xml:space="preserve"> </w:t>
            </w:r>
            <w:r w:rsidRPr="008930FB">
              <w:t>la lésion de la partie droite du cerveau d</w:t>
            </w:r>
            <w:r>
              <w:t>u patient d</w:t>
            </w:r>
            <w:r w:rsidRPr="008930FB">
              <w:t xml:space="preserve">oit être responsable de la paralysie du côté gauche </w:t>
            </w:r>
            <w:r>
              <w:t>de son</w:t>
            </w:r>
            <w:r w:rsidRPr="008930FB">
              <w:t xml:space="preserve"> corps.</w:t>
            </w:r>
          </w:p>
          <w:p w:rsidR="008930FB" w:rsidRDefault="008930FB" w:rsidP="00F8436A">
            <w:pPr>
              <w:jc w:val="both"/>
            </w:pPr>
          </w:p>
        </w:tc>
      </w:tr>
      <w:tr w:rsidR="008930FB" w:rsidTr="008930FB">
        <w:trPr>
          <w:trHeight w:val="126"/>
        </w:trPr>
        <w:tc>
          <w:tcPr>
            <w:tcW w:w="3510" w:type="dxa"/>
          </w:tcPr>
          <w:p w:rsidR="008930FB" w:rsidRPr="008930FB" w:rsidRDefault="008930FB" w:rsidP="008930FB">
            <w:pPr>
              <w:spacing w:before="100" w:after="100"/>
              <w:jc w:val="center"/>
              <w:rPr>
                <w:b/>
              </w:rPr>
            </w:pPr>
            <w:r w:rsidRPr="00F8436A">
              <w:rPr>
                <w:b/>
              </w:rPr>
              <w:t>IRM d’un individu sain</w:t>
            </w:r>
          </w:p>
        </w:tc>
        <w:tc>
          <w:tcPr>
            <w:tcW w:w="3686" w:type="dxa"/>
          </w:tcPr>
          <w:p w:rsidR="008930FB" w:rsidRPr="008930FB" w:rsidRDefault="008930FB" w:rsidP="008930FB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IRM du patient</w:t>
            </w:r>
          </w:p>
        </w:tc>
        <w:tc>
          <w:tcPr>
            <w:tcW w:w="3716" w:type="dxa"/>
            <w:vMerge/>
          </w:tcPr>
          <w:p w:rsidR="008930FB" w:rsidRDefault="008930FB" w:rsidP="00F8436A">
            <w:pPr>
              <w:jc w:val="both"/>
            </w:pPr>
          </w:p>
        </w:tc>
      </w:tr>
      <w:tr w:rsidR="008930FB" w:rsidTr="008930FB">
        <w:trPr>
          <w:trHeight w:val="1713"/>
        </w:trPr>
        <w:tc>
          <w:tcPr>
            <w:tcW w:w="3510" w:type="dxa"/>
          </w:tcPr>
          <w:p w:rsidR="008930FB" w:rsidRPr="008930FB" w:rsidRDefault="008930FB" w:rsidP="008930FB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8930FB" w:rsidRDefault="008930FB" w:rsidP="008930FB">
            <w:pPr>
              <w:spacing w:line="276" w:lineRule="auto"/>
              <w:jc w:val="center"/>
              <w:rPr>
                <w:b/>
              </w:rPr>
            </w:pPr>
            <w:r w:rsidRPr="008930FB">
              <w:rPr>
                <w:b/>
                <w:noProof/>
                <w:lang w:eastAsia="fr-FR"/>
              </w:rPr>
              <w:drawing>
                <wp:inline distT="0" distB="0" distL="0" distR="0">
                  <wp:extent cx="1290320" cy="1547495"/>
                  <wp:effectExtent l="19050" t="0" r="5080" b="0"/>
                  <wp:docPr id="28" name="Image 0" descr="Captu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154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0FB" w:rsidRPr="008930FB" w:rsidRDefault="008930FB" w:rsidP="008930FB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3686" w:type="dxa"/>
          </w:tcPr>
          <w:p w:rsidR="008930FB" w:rsidRPr="008930FB" w:rsidRDefault="008930FB" w:rsidP="008930FB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8930FB" w:rsidRDefault="00B53973" w:rsidP="008930FB">
            <w:pPr>
              <w:spacing w:line="276" w:lineRule="auto"/>
              <w:jc w:val="center"/>
              <w:rPr>
                <w:b/>
              </w:rPr>
            </w:pPr>
            <w:r w:rsidRPr="00B53973">
              <w:rPr>
                <w:noProof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23" type="#_x0000_t67" style="position:absolute;left:0;text-align:left;margin-left:115.05pt;margin-top:16.65pt;width:14.95pt;height:22.15pt;rotation:3756692fd;z-index:251674112" adj="12775,5418" strokeweight="1.5pt">
                  <v:textbox style="layout-flow:vertical-ideographic"/>
                </v:shape>
              </w:pict>
            </w:r>
            <w:r w:rsidR="008930FB" w:rsidRPr="008930FB">
              <w:rPr>
                <w:b/>
                <w:noProof/>
                <w:lang w:eastAsia="fr-FR"/>
              </w:rPr>
              <w:drawing>
                <wp:inline distT="0" distB="0" distL="0" distR="0">
                  <wp:extent cx="1359690" cy="1540250"/>
                  <wp:effectExtent l="19050" t="0" r="0" b="0"/>
                  <wp:docPr id="29" name="Image 1" descr="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573" cy="154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vMerge/>
          </w:tcPr>
          <w:p w:rsidR="008930FB" w:rsidRDefault="008930FB" w:rsidP="00F8436A">
            <w:pPr>
              <w:jc w:val="both"/>
            </w:pPr>
          </w:p>
        </w:tc>
      </w:tr>
      <w:tr w:rsidR="008930FB" w:rsidTr="008930FB">
        <w:tc>
          <w:tcPr>
            <w:tcW w:w="7196" w:type="dxa"/>
            <w:gridSpan w:val="2"/>
          </w:tcPr>
          <w:p w:rsidR="008930FB" w:rsidRPr="008930FB" w:rsidRDefault="008930FB" w:rsidP="00F8436A">
            <w:pPr>
              <w:jc w:val="both"/>
              <w:rPr>
                <w:sz w:val="10"/>
              </w:rPr>
            </w:pPr>
          </w:p>
          <w:p w:rsidR="008930FB" w:rsidRDefault="008930FB" w:rsidP="008930FB">
            <w:pPr>
              <w:spacing w:line="276" w:lineRule="auto"/>
              <w:jc w:val="both"/>
            </w:pPr>
            <w:r w:rsidRPr="00F8436A">
              <w:t>On</w:t>
            </w:r>
            <w:r>
              <w:t xml:space="preserve"> constate (doc.3) que, chez le patient</w:t>
            </w:r>
            <w:r w:rsidRPr="00F8436A">
              <w:t>, il y a peu (voire pas) de sang dans l’artère qui amène le sang au côté droit du cerveau.</w:t>
            </w:r>
          </w:p>
          <w:p w:rsidR="008930FB" w:rsidRPr="008930FB" w:rsidRDefault="008930FB" w:rsidP="00F8436A">
            <w:pPr>
              <w:jc w:val="both"/>
              <w:rPr>
                <w:sz w:val="10"/>
              </w:rPr>
            </w:pPr>
          </w:p>
        </w:tc>
        <w:tc>
          <w:tcPr>
            <w:tcW w:w="3716" w:type="dxa"/>
            <w:vMerge w:val="restart"/>
          </w:tcPr>
          <w:p w:rsidR="008930FB" w:rsidRPr="008930FB" w:rsidRDefault="008930FB" w:rsidP="008930FB">
            <w:pPr>
              <w:spacing w:line="276" w:lineRule="auto"/>
              <w:jc w:val="both"/>
              <w:rPr>
                <w:sz w:val="10"/>
              </w:rPr>
            </w:pPr>
          </w:p>
          <w:p w:rsidR="008930FB" w:rsidRDefault="008930FB" w:rsidP="008930FB">
            <w:pPr>
              <w:spacing w:line="276" w:lineRule="auto"/>
              <w:jc w:val="both"/>
            </w:pPr>
            <w:r>
              <w:t xml:space="preserve">On en déduit que l’irrigation faible (voire nulle) du côté droit du cerveau du patient doit être responsable de la lésion </w:t>
            </w:r>
            <w:r w:rsidR="00CE4A9A">
              <w:t xml:space="preserve">de </w:t>
            </w:r>
            <w:r>
              <w:t>cette partie du cerveau.</w:t>
            </w:r>
          </w:p>
          <w:p w:rsidR="008930FB" w:rsidRDefault="008930FB" w:rsidP="008930FB">
            <w:pPr>
              <w:spacing w:line="276" w:lineRule="auto"/>
              <w:jc w:val="both"/>
            </w:pPr>
          </w:p>
        </w:tc>
      </w:tr>
      <w:tr w:rsidR="008930FB" w:rsidTr="008930FB">
        <w:trPr>
          <w:trHeight w:val="87"/>
        </w:trPr>
        <w:tc>
          <w:tcPr>
            <w:tcW w:w="3510" w:type="dxa"/>
          </w:tcPr>
          <w:p w:rsidR="008930FB" w:rsidRPr="008930FB" w:rsidRDefault="008930FB" w:rsidP="008930FB">
            <w:pPr>
              <w:spacing w:before="100" w:after="100"/>
              <w:jc w:val="center"/>
              <w:rPr>
                <w:b/>
              </w:rPr>
            </w:pPr>
            <w:r w:rsidRPr="008930FB">
              <w:rPr>
                <w:b/>
              </w:rPr>
              <w:t>ARM d’un individu sain</w:t>
            </w:r>
          </w:p>
        </w:tc>
        <w:tc>
          <w:tcPr>
            <w:tcW w:w="3686" w:type="dxa"/>
          </w:tcPr>
          <w:p w:rsidR="008930FB" w:rsidRPr="008930FB" w:rsidRDefault="008930FB" w:rsidP="008930FB">
            <w:pPr>
              <w:spacing w:before="100" w:after="100"/>
              <w:jc w:val="center"/>
              <w:rPr>
                <w:b/>
              </w:rPr>
            </w:pPr>
            <w:r w:rsidRPr="008930FB">
              <w:rPr>
                <w:b/>
              </w:rPr>
              <w:t>ARM du patient</w:t>
            </w:r>
          </w:p>
        </w:tc>
        <w:tc>
          <w:tcPr>
            <w:tcW w:w="3716" w:type="dxa"/>
            <w:vMerge/>
          </w:tcPr>
          <w:p w:rsidR="008930FB" w:rsidRDefault="008930FB" w:rsidP="00F8436A">
            <w:pPr>
              <w:jc w:val="both"/>
            </w:pPr>
          </w:p>
        </w:tc>
      </w:tr>
      <w:tr w:rsidR="008930FB" w:rsidTr="008930FB">
        <w:trPr>
          <w:trHeight w:val="87"/>
        </w:trPr>
        <w:tc>
          <w:tcPr>
            <w:tcW w:w="3510" w:type="dxa"/>
          </w:tcPr>
          <w:p w:rsidR="008930FB" w:rsidRPr="008930FB" w:rsidRDefault="008930FB" w:rsidP="008930FB">
            <w:pPr>
              <w:jc w:val="center"/>
              <w:rPr>
                <w:sz w:val="10"/>
              </w:rPr>
            </w:pPr>
          </w:p>
          <w:p w:rsidR="008930FB" w:rsidRDefault="008930FB" w:rsidP="008930FB">
            <w:pPr>
              <w:jc w:val="center"/>
            </w:pPr>
            <w:r w:rsidRPr="008930FB">
              <w:rPr>
                <w:noProof/>
                <w:lang w:eastAsia="fr-FR"/>
              </w:rPr>
              <w:drawing>
                <wp:inline distT="0" distB="0" distL="0" distR="0">
                  <wp:extent cx="655571" cy="1512000"/>
                  <wp:effectExtent l="19050" t="0" r="0" b="0"/>
                  <wp:docPr id="36" name="Image 1" descr="MRA vf2 - Copie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 vf2 - Copie - Copi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71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0FB" w:rsidRPr="008930FB" w:rsidRDefault="008930FB" w:rsidP="008930FB">
            <w:pPr>
              <w:jc w:val="center"/>
              <w:rPr>
                <w:sz w:val="10"/>
              </w:rPr>
            </w:pPr>
          </w:p>
        </w:tc>
        <w:tc>
          <w:tcPr>
            <w:tcW w:w="3686" w:type="dxa"/>
          </w:tcPr>
          <w:p w:rsidR="008930FB" w:rsidRPr="008930FB" w:rsidRDefault="008930FB" w:rsidP="008930FB">
            <w:pPr>
              <w:jc w:val="center"/>
              <w:rPr>
                <w:sz w:val="10"/>
              </w:rPr>
            </w:pPr>
          </w:p>
          <w:p w:rsidR="008930FB" w:rsidRDefault="00B53973" w:rsidP="008930FB">
            <w:pPr>
              <w:jc w:val="center"/>
            </w:pPr>
            <w:r>
              <w:rPr>
                <w:noProof/>
                <w:lang w:eastAsia="fr-FR"/>
              </w:rPr>
              <w:pict>
                <v:shape id="_x0000_s1126" type="#_x0000_t67" style="position:absolute;left:0;text-align:left;margin-left:57.8pt;margin-top:19.65pt;width:14.95pt;height:22.15pt;rotation:-2753534fd;z-index:251676160" adj="12775,5418" strokeweight="1.5pt">
                  <v:textbox style="layout-flow:vertical-ideographic"/>
                </v:shape>
              </w:pict>
            </w:r>
            <w:r w:rsidR="008930FB" w:rsidRPr="008930FB">
              <w:rPr>
                <w:noProof/>
                <w:lang w:eastAsia="fr-FR"/>
              </w:rPr>
              <w:drawing>
                <wp:inline distT="0" distB="0" distL="0" distR="0">
                  <wp:extent cx="963890" cy="1512000"/>
                  <wp:effectExtent l="19050" t="0" r="7660" b="0"/>
                  <wp:docPr id="37" name="Image 5" descr="Captur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89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vMerge/>
          </w:tcPr>
          <w:p w:rsidR="008930FB" w:rsidRDefault="008930FB" w:rsidP="00F8436A">
            <w:pPr>
              <w:jc w:val="both"/>
            </w:pPr>
          </w:p>
        </w:tc>
      </w:tr>
      <w:tr w:rsidR="008930FB" w:rsidTr="008930FB">
        <w:tc>
          <w:tcPr>
            <w:tcW w:w="7196" w:type="dxa"/>
            <w:gridSpan w:val="2"/>
          </w:tcPr>
          <w:p w:rsidR="008930FB" w:rsidRPr="008930FB" w:rsidRDefault="008930FB" w:rsidP="008930FB">
            <w:pPr>
              <w:spacing w:line="276" w:lineRule="auto"/>
              <w:jc w:val="both"/>
              <w:rPr>
                <w:sz w:val="10"/>
              </w:rPr>
            </w:pPr>
          </w:p>
          <w:p w:rsidR="008930FB" w:rsidRDefault="008930FB" w:rsidP="008930FB">
            <w:pPr>
              <w:spacing w:line="276" w:lineRule="auto"/>
              <w:jc w:val="both"/>
            </w:pPr>
            <w:r w:rsidRPr="008930FB">
              <w:t>On constate</w:t>
            </w:r>
            <w:r>
              <w:t xml:space="preserve"> (doc.4)</w:t>
            </w:r>
            <w:r w:rsidRPr="008930FB">
              <w:t xml:space="preserve"> que le patient consomme de l’EPO depuis plus d’un mois.</w:t>
            </w:r>
          </w:p>
          <w:p w:rsidR="008930FB" w:rsidRPr="008930FB" w:rsidRDefault="008930FB" w:rsidP="008930FB">
            <w:pPr>
              <w:spacing w:line="276" w:lineRule="auto"/>
              <w:jc w:val="both"/>
              <w:rPr>
                <w:sz w:val="10"/>
              </w:rPr>
            </w:pPr>
          </w:p>
          <w:p w:rsidR="008930FB" w:rsidRDefault="008930FB" w:rsidP="008930FB">
            <w:pPr>
              <w:spacing w:line="276" w:lineRule="auto"/>
              <w:jc w:val="both"/>
            </w:pPr>
            <w:r w:rsidRPr="00F8436A">
              <w:t>On constate</w:t>
            </w:r>
            <w:r>
              <w:t xml:space="preserve"> (doc.4.a)</w:t>
            </w:r>
            <w:r w:rsidRPr="00F8436A">
              <w:t xml:space="preserve"> que la consommation d’EPO pendant plus de </w:t>
            </w:r>
            <w:r>
              <w:t>20 jours</w:t>
            </w:r>
            <w:r w:rsidRPr="00F8436A">
              <w:t xml:space="preserve"> se traduit par un hématocrite supérieur à 52 %.</w:t>
            </w:r>
          </w:p>
          <w:p w:rsidR="00501B9A" w:rsidRPr="00501B9A" w:rsidRDefault="00501B9A" w:rsidP="008930FB">
            <w:pPr>
              <w:spacing w:line="276" w:lineRule="auto"/>
              <w:jc w:val="both"/>
              <w:rPr>
                <w:sz w:val="10"/>
              </w:rPr>
            </w:pPr>
          </w:p>
          <w:p w:rsidR="00501B9A" w:rsidRDefault="00501B9A" w:rsidP="008930FB">
            <w:pPr>
              <w:spacing w:line="276" w:lineRule="auto"/>
              <w:jc w:val="both"/>
            </w:pPr>
            <w:r>
              <w:t>On constate (doc.1) que l’hématocrite du patient est anormalement élevé (</w:t>
            </w:r>
            <w:r w:rsidR="00274A67">
              <w:t>60</w:t>
            </w:r>
            <w:r>
              <w:t xml:space="preserve"> %).</w:t>
            </w:r>
          </w:p>
          <w:p w:rsidR="008930FB" w:rsidRPr="008930FB" w:rsidRDefault="008930FB" w:rsidP="008930FB">
            <w:pPr>
              <w:spacing w:line="276" w:lineRule="auto"/>
              <w:jc w:val="both"/>
              <w:rPr>
                <w:sz w:val="10"/>
              </w:rPr>
            </w:pPr>
          </w:p>
        </w:tc>
        <w:tc>
          <w:tcPr>
            <w:tcW w:w="3716" w:type="dxa"/>
          </w:tcPr>
          <w:p w:rsidR="008930FB" w:rsidRPr="008930FB" w:rsidRDefault="008930FB" w:rsidP="008930FB">
            <w:pPr>
              <w:spacing w:line="276" w:lineRule="auto"/>
              <w:jc w:val="both"/>
              <w:rPr>
                <w:sz w:val="10"/>
              </w:rPr>
            </w:pPr>
          </w:p>
          <w:p w:rsidR="008930FB" w:rsidRPr="005C223E" w:rsidRDefault="008930FB" w:rsidP="008930FB">
            <w:pPr>
              <w:spacing w:line="276" w:lineRule="auto"/>
              <w:jc w:val="both"/>
            </w:pPr>
            <w:r>
              <w:t xml:space="preserve">On en déduit </w:t>
            </w:r>
            <w:r w:rsidR="005C223E" w:rsidRPr="005C223E">
              <w:t>que la valeur anormalement élevée de l’</w:t>
            </w:r>
            <w:r w:rsidRPr="005C223E">
              <w:t xml:space="preserve">hématocrite du patient </w:t>
            </w:r>
            <w:r w:rsidR="005C223E" w:rsidRPr="005C223E">
              <w:t>est du</w:t>
            </w:r>
            <w:r w:rsidR="005C223E">
              <w:t>e à sa consommation d’EPO.</w:t>
            </w:r>
          </w:p>
          <w:p w:rsidR="008930FB" w:rsidRDefault="008930FB" w:rsidP="00F8436A">
            <w:pPr>
              <w:jc w:val="both"/>
            </w:pPr>
          </w:p>
        </w:tc>
      </w:tr>
      <w:tr w:rsidR="008930FB" w:rsidTr="008930FB">
        <w:tc>
          <w:tcPr>
            <w:tcW w:w="7196" w:type="dxa"/>
            <w:gridSpan w:val="2"/>
          </w:tcPr>
          <w:p w:rsidR="008930FB" w:rsidRPr="008930FB" w:rsidRDefault="008930FB" w:rsidP="008930FB">
            <w:pPr>
              <w:spacing w:line="276" w:lineRule="auto"/>
              <w:jc w:val="both"/>
              <w:rPr>
                <w:sz w:val="10"/>
              </w:rPr>
            </w:pPr>
          </w:p>
          <w:p w:rsidR="008930FB" w:rsidRPr="00274A67" w:rsidRDefault="008930FB" w:rsidP="008930FB">
            <w:pPr>
              <w:spacing w:line="276" w:lineRule="auto"/>
              <w:jc w:val="both"/>
            </w:pPr>
            <w:r w:rsidRPr="008930FB">
              <w:t xml:space="preserve">On constate (doc.4.b) </w:t>
            </w:r>
            <w:r w:rsidRPr="00274A67">
              <w:t xml:space="preserve">qu’un hématocrite supérieur à 52 % </w:t>
            </w:r>
            <w:r w:rsidR="00274A67" w:rsidRPr="00274A67">
              <w:t xml:space="preserve">se traduit par une forte viscosité du sang qui </w:t>
            </w:r>
            <w:r w:rsidRPr="00274A67">
              <w:t>entraî</w:t>
            </w:r>
            <w:r w:rsidR="00554DE2" w:rsidRPr="00274A67">
              <w:t>ne un risque élevé de thrombose.</w:t>
            </w:r>
            <w:r w:rsidRPr="00274A67">
              <w:t xml:space="preserve"> </w:t>
            </w:r>
          </w:p>
          <w:p w:rsidR="008930FB" w:rsidRPr="008930FB" w:rsidRDefault="008930FB" w:rsidP="00F8436A">
            <w:pPr>
              <w:jc w:val="both"/>
              <w:rPr>
                <w:sz w:val="10"/>
              </w:rPr>
            </w:pPr>
          </w:p>
          <w:p w:rsidR="008930FB" w:rsidRDefault="008930FB" w:rsidP="008930FB">
            <w:pPr>
              <w:spacing w:line="276" w:lineRule="auto"/>
              <w:jc w:val="both"/>
            </w:pPr>
            <w:r>
              <w:t>On a vu (doc.3) qu’</w:t>
            </w:r>
            <w:r w:rsidRPr="00F8436A">
              <w:t>il y a peu (voire pas) de sang dans l’artère qui amène le sang au côté droit du cerveau</w:t>
            </w:r>
            <w:r>
              <w:t xml:space="preserve"> du patient</w:t>
            </w:r>
            <w:r w:rsidRPr="00F8436A">
              <w:t>.</w:t>
            </w:r>
          </w:p>
          <w:p w:rsidR="008930FB" w:rsidRPr="008930FB" w:rsidRDefault="008930FB" w:rsidP="00F8436A">
            <w:pPr>
              <w:jc w:val="both"/>
              <w:rPr>
                <w:sz w:val="10"/>
              </w:rPr>
            </w:pPr>
          </w:p>
        </w:tc>
        <w:tc>
          <w:tcPr>
            <w:tcW w:w="3716" w:type="dxa"/>
          </w:tcPr>
          <w:p w:rsidR="008930FB" w:rsidRPr="008930FB" w:rsidRDefault="008930FB" w:rsidP="008930FB">
            <w:pPr>
              <w:spacing w:line="276" w:lineRule="auto"/>
              <w:jc w:val="both"/>
              <w:rPr>
                <w:sz w:val="10"/>
              </w:rPr>
            </w:pPr>
          </w:p>
          <w:p w:rsidR="008930FB" w:rsidRDefault="008930FB" w:rsidP="008930FB">
            <w:pPr>
              <w:spacing w:line="276" w:lineRule="auto"/>
              <w:jc w:val="both"/>
            </w:pPr>
            <w:r>
              <w:t>On en déduit que l’hémat</w:t>
            </w:r>
            <w:r w:rsidR="00274A67">
              <w:t>ocrite anormalement élevé</w:t>
            </w:r>
            <w:r w:rsidR="00E7031B">
              <w:t xml:space="preserve"> (</w:t>
            </w:r>
            <w:r w:rsidR="00274A67">
              <w:t>60</w:t>
            </w:r>
            <w:r>
              <w:t xml:space="preserve"> %) du patient </w:t>
            </w:r>
            <w:r w:rsidR="001A1E98">
              <w:t xml:space="preserve">s’est traduit par une forte viscosité de son sang, laquelle </w:t>
            </w:r>
            <w:r>
              <w:t xml:space="preserve">a provoqué une thrombose de </w:t>
            </w:r>
            <w:r w:rsidRPr="00F8436A">
              <w:t xml:space="preserve">l’artère qui amène le sang au côté droit </w:t>
            </w:r>
            <w:r>
              <w:t>de son</w:t>
            </w:r>
            <w:r w:rsidRPr="00F8436A">
              <w:t xml:space="preserve"> cerveau</w:t>
            </w:r>
            <w:r>
              <w:t>.</w:t>
            </w:r>
          </w:p>
          <w:p w:rsidR="008930FB" w:rsidRPr="008930FB" w:rsidRDefault="008930FB" w:rsidP="00F8436A">
            <w:pPr>
              <w:jc w:val="both"/>
              <w:rPr>
                <w:sz w:val="10"/>
              </w:rPr>
            </w:pPr>
          </w:p>
        </w:tc>
      </w:tr>
    </w:tbl>
    <w:p w:rsidR="00F8436A" w:rsidRDefault="00F8436A" w:rsidP="00CA79E9">
      <w:pPr>
        <w:tabs>
          <w:tab w:val="left" w:pos="8271"/>
        </w:tabs>
        <w:rPr>
          <w:b/>
        </w:rPr>
      </w:pPr>
    </w:p>
    <w:p w:rsidR="004A1BFA" w:rsidRDefault="004A1BFA" w:rsidP="00CA79E9">
      <w:pPr>
        <w:tabs>
          <w:tab w:val="left" w:pos="8271"/>
        </w:tabs>
        <w:rPr>
          <w:b/>
        </w:rPr>
      </w:pPr>
    </w:p>
    <w:p w:rsidR="004A1BFA" w:rsidRDefault="004A1BFA" w:rsidP="00CA79E9">
      <w:pPr>
        <w:tabs>
          <w:tab w:val="left" w:pos="8271"/>
        </w:tabs>
        <w:rPr>
          <w:b/>
        </w:rPr>
      </w:pPr>
    </w:p>
    <w:p w:rsidR="004A1BFA" w:rsidRDefault="004A1BFA" w:rsidP="00CA79E9">
      <w:pPr>
        <w:tabs>
          <w:tab w:val="left" w:pos="8271"/>
        </w:tabs>
        <w:rPr>
          <w:b/>
        </w:rPr>
      </w:pPr>
    </w:p>
    <w:p w:rsidR="00D23B35" w:rsidRPr="00D23B35" w:rsidRDefault="00D23B35" w:rsidP="00CA79E9">
      <w:pPr>
        <w:tabs>
          <w:tab w:val="left" w:pos="8271"/>
        </w:tabs>
        <w:rPr>
          <w:b/>
          <w:sz w:val="18"/>
        </w:rPr>
      </w:pPr>
    </w:p>
    <w:p w:rsidR="001A1E98" w:rsidRPr="00D23B35" w:rsidRDefault="004A1BFA" w:rsidP="00D23B35">
      <w:pPr>
        <w:tabs>
          <w:tab w:val="left" w:pos="8271"/>
        </w:tabs>
        <w:jc w:val="center"/>
      </w:pPr>
      <w:r w:rsidRPr="004A1BFA">
        <w:t>1 / 2</w:t>
      </w:r>
    </w:p>
    <w:tbl>
      <w:tblPr>
        <w:tblStyle w:val="Grilledutableau"/>
        <w:tblW w:w="0" w:type="auto"/>
        <w:tblLook w:val="04A0"/>
      </w:tblPr>
      <w:tblGrid>
        <w:gridCol w:w="7196"/>
        <w:gridCol w:w="3716"/>
      </w:tblGrid>
      <w:tr w:rsidR="004A1BFA" w:rsidTr="008A16AD">
        <w:tc>
          <w:tcPr>
            <w:tcW w:w="7196" w:type="dxa"/>
          </w:tcPr>
          <w:p w:rsidR="004A1BFA" w:rsidRPr="004A1BFA" w:rsidRDefault="004A1BFA" w:rsidP="008A16AD">
            <w:pPr>
              <w:jc w:val="both"/>
              <w:rPr>
                <w:sz w:val="10"/>
              </w:rPr>
            </w:pPr>
          </w:p>
          <w:p w:rsidR="004A1BFA" w:rsidRDefault="004A1BFA" w:rsidP="008A16AD">
            <w:pPr>
              <w:jc w:val="both"/>
            </w:pPr>
            <w:r>
              <w:t xml:space="preserve">On constate (doc.1) que le patient est un cycliste semi-professionnel. </w:t>
            </w:r>
          </w:p>
          <w:p w:rsidR="004A1BFA" w:rsidRPr="004A1BFA" w:rsidRDefault="004A1BFA" w:rsidP="008A16AD">
            <w:pPr>
              <w:jc w:val="both"/>
              <w:rPr>
                <w:sz w:val="10"/>
              </w:rPr>
            </w:pPr>
          </w:p>
          <w:p w:rsidR="004A1BFA" w:rsidRDefault="004A1BFA" w:rsidP="008A16AD">
            <w:pPr>
              <w:jc w:val="both"/>
            </w:pPr>
            <w:r>
              <w:t>On constate (doc.4) que le patient a consommé de l’EPO sans raison médicale.</w:t>
            </w:r>
          </w:p>
          <w:p w:rsidR="004A1BFA" w:rsidRPr="004A1BFA" w:rsidRDefault="004A1BFA" w:rsidP="008A16AD">
            <w:pPr>
              <w:jc w:val="both"/>
              <w:rPr>
                <w:sz w:val="10"/>
              </w:rPr>
            </w:pPr>
          </w:p>
          <w:p w:rsidR="004A1BFA" w:rsidRDefault="004A1BFA" w:rsidP="008A16AD">
            <w:pPr>
              <w:spacing w:line="276" w:lineRule="auto"/>
              <w:jc w:val="both"/>
            </w:pPr>
            <w:r>
              <w:t xml:space="preserve">On a vu que la consommation d’EPO augmente l’hématocrite, c'est-à-dire le nombre de globules rouges. </w:t>
            </w:r>
          </w:p>
          <w:p w:rsidR="004A1BFA" w:rsidRPr="004A1BFA" w:rsidRDefault="004A1BFA" w:rsidP="008A16AD">
            <w:pPr>
              <w:spacing w:line="276" w:lineRule="auto"/>
              <w:jc w:val="both"/>
              <w:rPr>
                <w:sz w:val="10"/>
              </w:rPr>
            </w:pPr>
          </w:p>
          <w:p w:rsidR="004A1BFA" w:rsidRDefault="004A1BFA" w:rsidP="008A16AD">
            <w:pPr>
              <w:spacing w:line="276" w:lineRule="auto"/>
              <w:jc w:val="both"/>
            </w:pPr>
            <w:r>
              <w:t>On sait que le VO</w:t>
            </w:r>
            <w:r w:rsidRPr="004A1BFA">
              <w:rPr>
                <w:vertAlign w:val="subscript"/>
              </w:rPr>
              <w:t>2</w:t>
            </w:r>
            <w:r>
              <w:t>max est proportionnel au nombre de globules rouges.</w:t>
            </w:r>
          </w:p>
          <w:p w:rsidR="004A1BFA" w:rsidRPr="004A1BFA" w:rsidRDefault="004A1BFA" w:rsidP="008A16AD">
            <w:pPr>
              <w:spacing w:line="276" w:lineRule="auto"/>
              <w:jc w:val="both"/>
              <w:rPr>
                <w:sz w:val="10"/>
              </w:rPr>
            </w:pPr>
          </w:p>
          <w:p w:rsidR="004A1BFA" w:rsidRDefault="004A1BFA" w:rsidP="008A16AD">
            <w:pPr>
              <w:spacing w:line="276" w:lineRule="auto"/>
              <w:jc w:val="both"/>
            </w:pPr>
            <w:r>
              <w:t>On sait que le VO</w:t>
            </w:r>
            <w:r w:rsidRPr="004A1BFA">
              <w:rPr>
                <w:vertAlign w:val="subscript"/>
              </w:rPr>
              <w:t>2</w:t>
            </w:r>
            <w:r>
              <w:t>max est proportionnel aux performances sportives.</w:t>
            </w:r>
          </w:p>
          <w:p w:rsidR="004A1BFA" w:rsidRDefault="004A1BFA" w:rsidP="008A16AD">
            <w:pPr>
              <w:jc w:val="both"/>
            </w:pPr>
          </w:p>
        </w:tc>
        <w:tc>
          <w:tcPr>
            <w:tcW w:w="3716" w:type="dxa"/>
          </w:tcPr>
          <w:p w:rsidR="004A1BFA" w:rsidRPr="004A1BFA" w:rsidRDefault="004A1BFA" w:rsidP="008A16AD">
            <w:pPr>
              <w:jc w:val="both"/>
              <w:rPr>
                <w:sz w:val="10"/>
              </w:rPr>
            </w:pPr>
          </w:p>
          <w:p w:rsidR="004A1BFA" w:rsidRDefault="004A1BFA" w:rsidP="004A1BFA">
            <w:pPr>
              <w:spacing w:line="276" w:lineRule="auto"/>
              <w:jc w:val="both"/>
            </w:pPr>
            <w:r>
              <w:t>On en déduit que la consommation d’EPO par le patient avait pour objectif d’augmenter artificiellement son VO</w:t>
            </w:r>
            <w:r w:rsidRPr="004A1BFA">
              <w:rPr>
                <w:vertAlign w:val="subscript"/>
              </w:rPr>
              <w:t>2</w:t>
            </w:r>
            <w:r>
              <w:t xml:space="preserve">max et donc ses performances </w:t>
            </w:r>
            <w:r w:rsidR="00A91D2D">
              <w:t>en cyclisme</w:t>
            </w:r>
            <w:r>
              <w:t xml:space="preserve">. </w:t>
            </w:r>
          </w:p>
          <w:p w:rsidR="004A1BFA" w:rsidRDefault="004A1BFA" w:rsidP="004A1BFA">
            <w:pPr>
              <w:spacing w:line="276" w:lineRule="auto"/>
              <w:jc w:val="both"/>
            </w:pPr>
          </w:p>
          <w:p w:rsidR="004A1BFA" w:rsidRDefault="004A1BFA" w:rsidP="004A1BFA">
            <w:pPr>
              <w:spacing w:line="276" w:lineRule="auto"/>
              <w:jc w:val="both"/>
            </w:pPr>
            <w:r>
              <w:t>Il s’agit d’un cas de dopage.</w:t>
            </w:r>
          </w:p>
        </w:tc>
      </w:tr>
    </w:tbl>
    <w:p w:rsidR="004A1BFA" w:rsidRDefault="004A1BFA" w:rsidP="0020058B">
      <w:pPr>
        <w:tabs>
          <w:tab w:val="left" w:pos="8271"/>
        </w:tabs>
        <w:jc w:val="both"/>
        <w:rPr>
          <w:b/>
        </w:rPr>
      </w:pPr>
    </w:p>
    <w:p w:rsidR="004A1BFA" w:rsidRDefault="004A1BFA" w:rsidP="0020058B">
      <w:pPr>
        <w:tabs>
          <w:tab w:val="left" w:pos="8271"/>
        </w:tabs>
        <w:jc w:val="both"/>
        <w:rPr>
          <w:b/>
        </w:rPr>
      </w:pPr>
    </w:p>
    <w:p w:rsidR="004A1BFA" w:rsidRDefault="004A1BFA" w:rsidP="0020058B">
      <w:pPr>
        <w:tabs>
          <w:tab w:val="left" w:pos="8271"/>
        </w:tabs>
        <w:jc w:val="both"/>
        <w:rPr>
          <w:b/>
        </w:rPr>
      </w:pPr>
      <w:r>
        <w:rPr>
          <w:b/>
        </w:rPr>
        <w:t>Synthèse</w:t>
      </w:r>
    </w:p>
    <w:p w:rsidR="004A1BFA" w:rsidRPr="00A91D2D" w:rsidRDefault="004A1BFA" w:rsidP="0020058B">
      <w:pPr>
        <w:tabs>
          <w:tab w:val="left" w:pos="8271"/>
        </w:tabs>
        <w:jc w:val="both"/>
        <w:rPr>
          <w:b/>
          <w:sz w:val="10"/>
        </w:rPr>
      </w:pPr>
    </w:p>
    <w:p w:rsidR="004A1BFA" w:rsidRDefault="00A91D2D" w:rsidP="0020058B">
      <w:pPr>
        <w:tabs>
          <w:tab w:val="left" w:pos="8271"/>
        </w:tabs>
        <w:spacing w:line="276" w:lineRule="auto"/>
        <w:jc w:val="both"/>
      </w:pPr>
      <w:r>
        <w:t xml:space="preserve">Le patient a consommé de l’EPO afin </w:t>
      </w:r>
      <w:r w:rsidR="0020058B">
        <w:t xml:space="preserve">d’augmenter </w:t>
      </w:r>
      <w:r w:rsidR="00D75800">
        <w:t xml:space="preserve">artificiellement </w:t>
      </w:r>
      <w:r w:rsidR="0020058B">
        <w:t>son VO</w:t>
      </w:r>
      <w:r w:rsidR="0020058B" w:rsidRPr="0020058B">
        <w:rPr>
          <w:vertAlign w:val="subscript"/>
        </w:rPr>
        <w:t>2</w:t>
      </w:r>
      <w:r w:rsidR="0020058B">
        <w:t xml:space="preserve">max et ainsi </w:t>
      </w:r>
      <w:r>
        <w:t xml:space="preserve">améliorer ses performances sportives en cyclisme. </w:t>
      </w:r>
    </w:p>
    <w:p w:rsidR="00A91D2D" w:rsidRPr="00A91D2D" w:rsidRDefault="00A91D2D" w:rsidP="0020058B">
      <w:pPr>
        <w:tabs>
          <w:tab w:val="left" w:pos="8271"/>
        </w:tabs>
        <w:spacing w:line="276" w:lineRule="auto"/>
        <w:jc w:val="both"/>
        <w:rPr>
          <w:sz w:val="10"/>
        </w:rPr>
      </w:pPr>
    </w:p>
    <w:p w:rsidR="00A91D2D" w:rsidRDefault="00A91D2D" w:rsidP="0020058B">
      <w:pPr>
        <w:tabs>
          <w:tab w:val="left" w:pos="8271"/>
        </w:tabs>
        <w:spacing w:line="276" w:lineRule="auto"/>
        <w:jc w:val="both"/>
      </w:pPr>
      <w:r>
        <w:t>Ce dopage a entraîné une augmentation de son hématocrite</w:t>
      </w:r>
      <w:r w:rsidR="00554DE2">
        <w:t>, c'est-à-dire de la viscosité de son sang,</w:t>
      </w:r>
      <w:r>
        <w:t xml:space="preserve"> qui s’est traduite par une thrombose de l’artère irriguant le côté droit de son cerveau. </w:t>
      </w:r>
    </w:p>
    <w:p w:rsidR="0020058B" w:rsidRPr="0020058B" w:rsidRDefault="0020058B" w:rsidP="0020058B">
      <w:pPr>
        <w:tabs>
          <w:tab w:val="left" w:pos="8271"/>
        </w:tabs>
        <w:spacing w:line="276" w:lineRule="auto"/>
        <w:jc w:val="both"/>
        <w:rPr>
          <w:sz w:val="10"/>
        </w:rPr>
      </w:pPr>
    </w:p>
    <w:p w:rsidR="0020058B" w:rsidRDefault="0020058B" w:rsidP="0020058B">
      <w:pPr>
        <w:tabs>
          <w:tab w:val="left" w:pos="8271"/>
        </w:tabs>
        <w:spacing w:line="276" w:lineRule="auto"/>
        <w:jc w:val="both"/>
      </w:pPr>
      <w:r>
        <w:t>Cette thrombose a provoqué une diminution de l’irrigation de l’hémisphère cérébral droit, laquelle a endommagé cette partie du cerveau.</w:t>
      </w:r>
    </w:p>
    <w:p w:rsidR="0020058B" w:rsidRPr="0020058B" w:rsidRDefault="0020058B" w:rsidP="0020058B">
      <w:pPr>
        <w:tabs>
          <w:tab w:val="left" w:pos="8271"/>
        </w:tabs>
        <w:spacing w:line="276" w:lineRule="auto"/>
        <w:jc w:val="both"/>
        <w:rPr>
          <w:sz w:val="10"/>
        </w:rPr>
      </w:pPr>
    </w:p>
    <w:p w:rsidR="0020058B" w:rsidRPr="00A91D2D" w:rsidRDefault="0020058B" w:rsidP="0020058B">
      <w:pPr>
        <w:tabs>
          <w:tab w:val="left" w:pos="8271"/>
        </w:tabs>
        <w:spacing w:line="276" w:lineRule="auto"/>
        <w:jc w:val="both"/>
      </w:pPr>
      <w:r>
        <w:t xml:space="preserve">C’est cette lésion qui est responsable de l’hémiplégie gauche du patient. </w:t>
      </w:r>
    </w:p>
    <w:p w:rsidR="004A1BFA" w:rsidRPr="0020058B" w:rsidRDefault="004A1BFA" w:rsidP="00A91D2D">
      <w:pPr>
        <w:tabs>
          <w:tab w:val="left" w:pos="8271"/>
        </w:tabs>
        <w:spacing w:line="276" w:lineRule="auto"/>
        <w:rPr>
          <w:sz w:val="10"/>
        </w:rPr>
      </w:pPr>
    </w:p>
    <w:p w:rsidR="00A91D2D" w:rsidRPr="0020058B" w:rsidRDefault="0020058B" w:rsidP="00CA79E9">
      <w:pPr>
        <w:tabs>
          <w:tab w:val="left" w:pos="8271"/>
        </w:tabs>
      </w:pPr>
      <w:r w:rsidRPr="0020058B">
        <w:t xml:space="preserve">Autrement dit, </w:t>
      </w:r>
      <w:r>
        <w:t xml:space="preserve">la paralysie du patient résulte de sa consommation d’un produit dopant. </w:t>
      </w:r>
    </w:p>
    <w:p w:rsidR="00A91D2D" w:rsidRPr="0020058B" w:rsidRDefault="00A91D2D" w:rsidP="00CA79E9">
      <w:pPr>
        <w:tabs>
          <w:tab w:val="left" w:pos="8271"/>
        </w:tabs>
      </w:pPr>
    </w:p>
    <w:p w:rsidR="0020058B" w:rsidRPr="0020058B" w:rsidRDefault="0020058B" w:rsidP="00CA79E9">
      <w:pPr>
        <w:tabs>
          <w:tab w:val="left" w:pos="8271"/>
        </w:tabs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20058B" w:rsidRDefault="0020058B" w:rsidP="00CA79E9">
      <w:pPr>
        <w:tabs>
          <w:tab w:val="left" w:pos="8271"/>
        </w:tabs>
        <w:rPr>
          <w:b/>
        </w:rPr>
      </w:pPr>
    </w:p>
    <w:p w:rsidR="004A1BFA" w:rsidRPr="0020058B" w:rsidRDefault="004A1BFA" w:rsidP="0020058B">
      <w:pPr>
        <w:tabs>
          <w:tab w:val="left" w:pos="8271"/>
        </w:tabs>
        <w:jc w:val="center"/>
      </w:pPr>
      <w:r>
        <w:t>2</w:t>
      </w:r>
      <w:r w:rsidRPr="004A1BFA">
        <w:t xml:space="preserve"> / 2</w:t>
      </w:r>
    </w:p>
    <w:sectPr w:rsidR="004A1BFA" w:rsidRPr="0020058B" w:rsidSect="00705821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499"/>
    <w:multiLevelType w:val="hybridMultilevel"/>
    <w:tmpl w:val="90E2DA84"/>
    <w:lvl w:ilvl="0" w:tplc="023E5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544B"/>
    <w:multiLevelType w:val="multilevel"/>
    <w:tmpl w:val="CC264B4C"/>
    <w:lvl w:ilvl="0">
      <w:start w:val="2014"/>
      <w:numFmt w:val="bullet"/>
      <w:lvlText w:val="-"/>
      <w:lvlJc w:val="left"/>
      <w:pPr>
        <w:ind w:left="0" w:firstLine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DDF"/>
    <w:multiLevelType w:val="multilevel"/>
    <w:tmpl w:val="2D68550A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EB75EF4"/>
    <w:multiLevelType w:val="hybridMultilevel"/>
    <w:tmpl w:val="E4F8B2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037EE"/>
    <w:multiLevelType w:val="hybridMultilevel"/>
    <w:tmpl w:val="59D83964"/>
    <w:lvl w:ilvl="0" w:tplc="2E283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8744A"/>
    <w:multiLevelType w:val="multilevel"/>
    <w:tmpl w:val="E02A4A98"/>
    <w:lvl w:ilvl="0">
      <w:numFmt w:val="bullet"/>
      <w:lvlText w:val="-"/>
      <w:lvlJc w:val="left"/>
      <w:pPr>
        <w:ind w:left="0" w:firstLine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41B00"/>
    <w:multiLevelType w:val="multilevel"/>
    <w:tmpl w:val="2D68550A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2E32AC"/>
    <w:multiLevelType w:val="multilevel"/>
    <w:tmpl w:val="2D68550A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A7D10"/>
    <w:rsid w:val="000039B2"/>
    <w:rsid w:val="0000615D"/>
    <w:rsid w:val="0007638C"/>
    <w:rsid w:val="000A2A39"/>
    <w:rsid w:val="001166F6"/>
    <w:rsid w:val="00141B2F"/>
    <w:rsid w:val="00171055"/>
    <w:rsid w:val="001A1E98"/>
    <w:rsid w:val="0020058B"/>
    <w:rsid w:val="0021701B"/>
    <w:rsid w:val="00217747"/>
    <w:rsid w:val="00225146"/>
    <w:rsid w:val="00274A67"/>
    <w:rsid w:val="00295704"/>
    <w:rsid w:val="00334D81"/>
    <w:rsid w:val="004A1BFA"/>
    <w:rsid w:val="004D31B1"/>
    <w:rsid w:val="0050084D"/>
    <w:rsid w:val="00501B9A"/>
    <w:rsid w:val="00506A58"/>
    <w:rsid w:val="0051263E"/>
    <w:rsid w:val="00535915"/>
    <w:rsid w:val="00554DE2"/>
    <w:rsid w:val="0055524F"/>
    <w:rsid w:val="005A059F"/>
    <w:rsid w:val="005A7D10"/>
    <w:rsid w:val="005C223E"/>
    <w:rsid w:val="006730EB"/>
    <w:rsid w:val="006C3DC8"/>
    <w:rsid w:val="006E20AD"/>
    <w:rsid w:val="00705821"/>
    <w:rsid w:val="00712BD7"/>
    <w:rsid w:val="007366AC"/>
    <w:rsid w:val="00795A74"/>
    <w:rsid w:val="00816816"/>
    <w:rsid w:val="0088176E"/>
    <w:rsid w:val="008930FB"/>
    <w:rsid w:val="008A4360"/>
    <w:rsid w:val="008A7CD1"/>
    <w:rsid w:val="008B0621"/>
    <w:rsid w:val="008B70DA"/>
    <w:rsid w:val="009016F0"/>
    <w:rsid w:val="0091632D"/>
    <w:rsid w:val="00947BE4"/>
    <w:rsid w:val="00961EE4"/>
    <w:rsid w:val="00962AD2"/>
    <w:rsid w:val="009D7DD0"/>
    <w:rsid w:val="00A64E2E"/>
    <w:rsid w:val="00A76BE1"/>
    <w:rsid w:val="00A91D2D"/>
    <w:rsid w:val="00B358FE"/>
    <w:rsid w:val="00B53973"/>
    <w:rsid w:val="00B721E1"/>
    <w:rsid w:val="00B76F5F"/>
    <w:rsid w:val="00BC7D2C"/>
    <w:rsid w:val="00BF0CC9"/>
    <w:rsid w:val="00BF4814"/>
    <w:rsid w:val="00C00E99"/>
    <w:rsid w:val="00C4202F"/>
    <w:rsid w:val="00C42A39"/>
    <w:rsid w:val="00CA79E9"/>
    <w:rsid w:val="00CC0CE6"/>
    <w:rsid w:val="00CE0695"/>
    <w:rsid w:val="00CE4A9A"/>
    <w:rsid w:val="00CF4C02"/>
    <w:rsid w:val="00D23B35"/>
    <w:rsid w:val="00D65EB2"/>
    <w:rsid w:val="00D75800"/>
    <w:rsid w:val="00D93563"/>
    <w:rsid w:val="00DA2578"/>
    <w:rsid w:val="00E15EA8"/>
    <w:rsid w:val="00E3155B"/>
    <w:rsid w:val="00E7031B"/>
    <w:rsid w:val="00F00547"/>
    <w:rsid w:val="00F8436A"/>
    <w:rsid w:val="00F868AE"/>
    <w:rsid w:val="00F914DD"/>
    <w:rsid w:val="00FE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A7D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A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semiHidden/>
    <w:rsid w:val="005A7D10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5A7D10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5A7D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7D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D10"/>
    <w:rPr>
      <w:rFonts w:ascii="Tahoma" w:hAnsi="Tahoma" w:cs="Tahoma"/>
      <w:sz w:val="16"/>
      <w:szCs w:val="16"/>
    </w:rPr>
  </w:style>
  <w:style w:type="paragraph" w:customStyle="1" w:styleId="Corps">
    <w:name w:val="Corps"/>
    <w:rsid w:val="00B721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22</cp:revision>
  <dcterms:created xsi:type="dcterms:W3CDTF">2016-04-03T18:39:00Z</dcterms:created>
  <dcterms:modified xsi:type="dcterms:W3CDTF">2016-07-19T20:11:00Z</dcterms:modified>
</cp:coreProperties>
</file>